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5E3F9" w14:textId="77777777" w:rsidR="003E01A3" w:rsidRDefault="003E01A3" w:rsidP="00987DE7">
      <w:pPr>
        <w:jc w:val="center"/>
      </w:pPr>
    </w:p>
    <w:p w14:paraId="25543A5A" w14:textId="1B1AE2BE" w:rsidR="00987DE7" w:rsidRPr="00F401AC" w:rsidRDefault="00987DE7" w:rsidP="00987DE7">
      <w:pPr>
        <w:jc w:val="center"/>
      </w:pPr>
      <w:r w:rsidRPr="00F401AC">
        <w:t>Université Rennes 2 / 202</w:t>
      </w:r>
      <w:r w:rsidR="00C03202">
        <w:t>5</w:t>
      </w:r>
      <w:r w:rsidRPr="00F401AC">
        <w:t>-202</w:t>
      </w:r>
      <w:r w:rsidR="00C03202">
        <w:t>6</w:t>
      </w:r>
    </w:p>
    <w:p w14:paraId="4F3EB17E" w14:textId="11C9BDB9" w:rsidR="00F401AC" w:rsidRDefault="004249DF" w:rsidP="00987DE7">
      <w:pPr>
        <w:jc w:val="center"/>
        <w:rPr>
          <w:bCs/>
        </w:rPr>
      </w:pPr>
      <w:r w:rsidRPr="00F401AC">
        <w:rPr>
          <w:bCs/>
        </w:rPr>
        <w:t>Licence 2 - Semestre 4</w:t>
      </w:r>
    </w:p>
    <w:p w14:paraId="038021C0" w14:textId="77777777" w:rsidR="004249DF" w:rsidRPr="00F401AC" w:rsidRDefault="004249DF" w:rsidP="00987DE7">
      <w:pPr>
        <w:jc w:val="center"/>
      </w:pPr>
    </w:p>
    <w:p w14:paraId="3BCD712C" w14:textId="77777777" w:rsidR="004249DF" w:rsidRPr="008E5EC4" w:rsidRDefault="00987DE7" w:rsidP="004249DF">
      <w:pPr>
        <w:jc w:val="center"/>
        <w:rPr>
          <w:b/>
        </w:rPr>
      </w:pPr>
      <w:r w:rsidRPr="004249DF">
        <w:rPr>
          <w:b/>
        </w:rPr>
        <w:t xml:space="preserve">UEO CELTES – </w:t>
      </w:r>
      <w:r w:rsidR="004249DF" w:rsidRPr="00A366E4">
        <w:rPr>
          <w:b/>
        </w:rPr>
        <w:t>Origine et connaissance des mondes celtiques</w:t>
      </w:r>
      <w:r w:rsidR="004249DF" w:rsidRPr="008E5EC4">
        <w:t xml:space="preserve"> </w:t>
      </w:r>
      <w:r w:rsidR="004249DF">
        <w:rPr>
          <w:b/>
        </w:rPr>
        <w:t>-</w:t>
      </w:r>
      <w:r w:rsidR="004249DF" w:rsidRPr="008E5EC4">
        <w:rPr>
          <w:b/>
        </w:rPr>
        <w:t xml:space="preserve"> code </w:t>
      </w:r>
      <w:r w:rsidR="004249DF">
        <w:rPr>
          <w:b/>
        </w:rPr>
        <w:t>01FT</w:t>
      </w:r>
      <w:r w:rsidR="004249DF" w:rsidRPr="008E5EC4">
        <w:rPr>
          <w:b/>
        </w:rPr>
        <w:t>H41</w:t>
      </w:r>
    </w:p>
    <w:p w14:paraId="396B2703" w14:textId="659B776C" w:rsidR="00987DE7" w:rsidRDefault="00987DE7" w:rsidP="00987DE7">
      <w:pPr>
        <w:jc w:val="center"/>
        <w:rPr>
          <w:bCs/>
        </w:rPr>
      </w:pPr>
      <w:r w:rsidRPr="00F401AC">
        <w:rPr>
          <w:bCs/>
        </w:rPr>
        <w:t>(CM. V. Defente)</w:t>
      </w:r>
    </w:p>
    <w:p w14:paraId="18415EAD" w14:textId="77777777" w:rsidR="004249DF" w:rsidRPr="00F401AC" w:rsidRDefault="004249DF" w:rsidP="00987DE7">
      <w:pPr>
        <w:jc w:val="center"/>
        <w:rPr>
          <w:bCs/>
        </w:rPr>
      </w:pPr>
    </w:p>
    <w:p w14:paraId="5EC46C3D" w14:textId="77777777" w:rsidR="00987DE7" w:rsidRPr="009E495D" w:rsidRDefault="00987DE7" w:rsidP="00987DE7">
      <w:pPr>
        <w:jc w:val="center"/>
        <w:rPr>
          <w:bCs/>
        </w:rPr>
      </w:pPr>
    </w:p>
    <w:p w14:paraId="30794B4F" w14:textId="77777777" w:rsidR="00987DE7" w:rsidRDefault="00987DE7" w:rsidP="00987DE7">
      <w:pPr>
        <w:rPr>
          <w:b/>
        </w:rPr>
      </w:pPr>
    </w:p>
    <w:p w14:paraId="2C5EA39E" w14:textId="64D8662A" w:rsidR="00987DE7" w:rsidRPr="00C74F36" w:rsidRDefault="00987DE7" w:rsidP="00987DE7">
      <w:r w:rsidRPr="0085056D">
        <w:rPr>
          <w:b/>
          <w:bCs/>
        </w:rPr>
        <w:t xml:space="preserve">CM1 </w:t>
      </w:r>
      <w:r w:rsidR="00BA76A4">
        <w:t xml:space="preserve">– </w:t>
      </w:r>
      <w:r>
        <w:t>Les Celtes de l’Antiquité</w:t>
      </w:r>
      <w:r w:rsidR="0039768C">
        <w:t xml:space="preserve"> / vendredi </w:t>
      </w:r>
      <w:r w:rsidR="00345D00">
        <w:t>16</w:t>
      </w:r>
      <w:r w:rsidR="0039768C">
        <w:t xml:space="preserve"> janvier 202</w:t>
      </w:r>
      <w:r w:rsidR="00345D00">
        <w:t>6</w:t>
      </w:r>
      <w:r w:rsidR="0039768C">
        <w:t>,</w:t>
      </w:r>
      <w:r w:rsidR="004249DF">
        <w:t xml:space="preserve"> 1</w:t>
      </w:r>
      <w:r w:rsidR="0039768C">
        <w:t>0h45</w:t>
      </w:r>
      <w:r w:rsidR="007155B7">
        <w:t>-</w:t>
      </w:r>
      <w:r w:rsidR="0039768C">
        <w:t>12h45</w:t>
      </w:r>
    </w:p>
    <w:p w14:paraId="6869A16A" w14:textId="77777777" w:rsidR="00F401AC" w:rsidRDefault="00F401AC" w:rsidP="005F70B6">
      <w:pPr>
        <w:jc w:val="both"/>
        <w:rPr>
          <w:u w:val="single"/>
        </w:rPr>
      </w:pPr>
    </w:p>
    <w:p w14:paraId="34C4FEF0" w14:textId="7BA8BAC3" w:rsidR="00987DE7" w:rsidRPr="003E01A3" w:rsidRDefault="00987DE7" w:rsidP="005F70B6">
      <w:pPr>
        <w:jc w:val="both"/>
      </w:pPr>
      <w:r w:rsidRPr="003E01A3">
        <w:rPr>
          <w:u w:val="single"/>
        </w:rPr>
        <w:t>Bibliographie indicative</w:t>
      </w:r>
      <w:r w:rsidRPr="003E01A3">
        <w:t> </w:t>
      </w:r>
      <w:r w:rsidR="003E01A3" w:rsidRPr="003E01A3">
        <w:t>(</w:t>
      </w:r>
      <w:r w:rsidR="003E01A3" w:rsidRPr="003E01A3">
        <w:rPr>
          <w:i/>
          <w:iCs/>
        </w:rPr>
        <w:t>les articles conseillés en cours sont précédés de</w:t>
      </w:r>
      <w:r w:rsidR="003E01A3" w:rsidRPr="003E01A3">
        <w:t xml:space="preserve"> *) </w:t>
      </w:r>
      <w:r w:rsidRPr="003E01A3">
        <w:t>:</w:t>
      </w:r>
    </w:p>
    <w:p w14:paraId="39566BCE" w14:textId="77777777" w:rsidR="00030825" w:rsidRPr="003E01A3" w:rsidRDefault="00030825" w:rsidP="00030825">
      <w:pPr>
        <w:pStyle w:val="Sansinterligne"/>
        <w:jc w:val="both"/>
        <w:rPr>
          <w:rFonts w:ascii="Times New Roman" w:hAnsi="Times New Roman"/>
          <w:sz w:val="24"/>
          <w:szCs w:val="24"/>
        </w:rPr>
      </w:pPr>
      <w:r w:rsidRPr="003E01A3">
        <w:rPr>
          <w:rFonts w:ascii="Times New Roman" w:hAnsi="Times New Roman"/>
          <w:sz w:val="24"/>
          <w:szCs w:val="24"/>
        </w:rPr>
        <w:t xml:space="preserve">Arbois de Jubainville H. d’, Principaux auteurs de l’antiquité à consulter sur l’histoire des Celtes, in </w:t>
      </w:r>
      <w:r w:rsidRPr="003E01A3">
        <w:rPr>
          <w:rFonts w:ascii="Times New Roman" w:hAnsi="Times New Roman"/>
          <w:i/>
          <w:sz w:val="24"/>
          <w:szCs w:val="24"/>
        </w:rPr>
        <w:t>Cours de littérature celtique</w:t>
      </w:r>
      <w:r w:rsidRPr="003E01A3">
        <w:rPr>
          <w:rFonts w:ascii="Times New Roman" w:hAnsi="Times New Roman"/>
          <w:sz w:val="24"/>
          <w:szCs w:val="24"/>
        </w:rPr>
        <w:t>, vol. 12, Paris, 1902.</w:t>
      </w:r>
    </w:p>
    <w:p w14:paraId="19608C71" w14:textId="77777777" w:rsidR="00030825" w:rsidRPr="003E01A3" w:rsidRDefault="00030825" w:rsidP="00030825">
      <w:pPr>
        <w:pStyle w:val="Sansinterligne"/>
        <w:jc w:val="both"/>
        <w:rPr>
          <w:rFonts w:ascii="Times New Roman" w:hAnsi="Times New Roman"/>
          <w:sz w:val="24"/>
          <w:szCs w:val="24"/>
          <w:lang w:val="en-US"/>
        </w:rPr>
      </w:pPr>
      <w:r w:rsidRPr="003E01A3">
        <w:rPr>
          <w:rFonts w:ascii="Times New Roman" w:hAnsi="Times New Roman"/>
          <w:sz w:val="24"/>
          <w:szCs w:val="24"/>
          <w:lang w:val="en-US"/>
        </w:rPr>
        <w:t xml:space="preserve">Champion T.C., « Written sources and the study of the European Iron Age », in Champion T.C. &amp; Megaw JVS. (ed.), </w:t>
      </w:r>
      <w:r w:rsidRPr="003E01A3">
        <w:rPr>
          <w:rFonts w:ascii="Times New Roman" w:hAnsi="Times New Roman"/>
          <w:i/>
          <w:sz w:val="24"/>
          <w:szCs w:val="24"/>
          <w:lang w:val="en-US"/>
        </w:rPr>
        <w:t xml:space="preserve">Settlement and </w:t>
      </w:r>
      <w:proofErr w:type="gramStart"/>
      <w:r w:rsidRPr="003E01A3">
        <w:rPr>
          <w:rFonts w:ascii="Times New Roman" w:hAnsi="Times New Roman"/>
          <w:i/>
          <w:sz w:val="24"/>
          <w:szCs w:val="24"/>
          <w:lang w:val="en-US"/>
        </w:rPr>
        <w:t>Society :</w:t>
      </w:r>
      <w:proofErr w:type="gramEnd"/>
      <w:r w:rsidRPr="003E01A3">
        <w:rPr>
          <w:rFonts w:ascii="Times New Roman" w:hAnsi="Times New Roman"/>
          <w:i/>
          <w:sz w:val="24"/>
          <w:szCs w:val="24"/>
          <w:lang w:val="en-US"/>
        </w:rPr>
        <w:t xml:space="preserve"> aspects of West European prehistory in the first millenium B.C</w:t>
      </w:r>
      <w:r w:rsidRPr="003E01A3">
        <w:rPr>
          <w:rFonts w:ascii="Times New Roman" w:hAnsi="Times New Roman"/>
          <w:sz w:val="24"/>
          <w:szCs w:val="24"/>
          <w:lang w:val="en-US"/>
        </w:rPr>
        <w:t>., Leicester University Press, 1985, 9-22.</w:t>
      </w:r>
    </w:p>
    <w:p w14:paraId="2F116A23" w14:textId="77777777" w:rsidR="007155B7" w:rsidRPr="00F96C78" w:rsidRDefault="007155B7" w:rsidP="007155B7">
      <w:pPr>
        <w:pStyle w:val="Sansinterligne"/>
        <w:jc w:val="both"/>
        <w:rPr>
          <w:rFonts w:ascii="Times New Roman" w:hAnsi="Times New Roman"/>
          <w:color w:val="FF0000"/>
          <w:sz w:val="24"/>
          <w:szCs w:val="24"/>
          <w:lang w:val="en-US"/>
        </w:rPr>
      </w:pPr>
      <w:r w:rsidRPr="008D474C">
        <w:rPr>
          <w:rFonts w:ascii="Times New Roman" w:hAnsi="Times New Roman"/>
          <w:sz w:val="24"/>
          <w:szCs w:val="24"/>
          <w:lang w:val="en-US"/>
        </w:rPr>
        <w:t xml:space="preserve">*Freeman Ph.M. « The earliest greek sources on the Celts », </w:t>
      </w:r>
      <w:r w:rsidRPr="008D474C">
        <w:rPr>
          <w:rFonts w:ascii="Times New Roman" w:hAnsi="Times New Roman"/>
          <w:i/>
          <w:sz w:val="24"/>
          <w:szCs w:val="24"/>
          <w:lang w:val="en-US"/>
        </w:rPr>
        <w:t>Etudes Celtiques</w:t>
      </w:r>
      <w:r w:rsidRPr="008D474C">
        <w:rPr>
          <w:rFonts w:ascii="Times New Roman" w:hAnsi="Times New Roman"/>
          <w:sz w:val="24"/>
          <w:szCs w:val="24"/>
          <w:lang w:val="en-US"/>
        </w:rPr>
        <w:t>, XXXII, 1996, 11-48</w:t>
      </w:r>
      <w:r>
        <w:rPr>
          <w:rFonts w:ascii="Times New Roman" w:hAnsi="Times New Roman"/>
          <w:sz w:val="24"/>
          <w:szCs w:val="24"/>
          <w:lang w:val="en-US"/>
        </w:rPr>
        <w:t xml:space="preserve"> / </w:t>
      </w:r>
      <w:r w:rsidRPr="00F96C78">
        <w:rPr>
          <w:rFonts w:ascii="Times New Roman" w:hAnsi="Times New Roman"/>
          <w:color w:val="FF0000"/>
          <w:sz w:val="24"/>
          <w:szCs w:val="24"/>
          <w:lang w:val="en-US"/>
        </w:rPr>
        <w:t>file:///Users/virginie/Downloads/ecelt_0373-1928_1996_num_32_1_2082-1.pdf</w:t>
      </w:r>
    </w:p>
    <w:p w14:paraId="4261B484" w14:textId="77777777" w:rsidR="00030825" w:rsidRPr="003E01A3" w:rsidRDefault="00030825" w:rsidP="00030825">
      <w:pPr>
        <w:pStyle w:val="Sansinterligne"/>
        <w:jc w:val="both"/>
        <w:rPr>
          <w:rFonts w:ascii="Times New Roman" w:hAnsi="Times New Roman"/>
          <w:sz w:val="24"/>
          <w:szCs w:val="24"/>
          <w:lang w:val="en-US"/>
        </w:rPr>
      </w:pPr>
      <w:r w:rsidRPr="003E01A3">
        <w:rPr>
          <w:rFonts w:ascii="Times New Roman" w:hAnsi="Times New Roman"/>
          <w:sz w:val="24"/>
          <w:szCs w:val="24"/>
          <w:lang w:val="en-US"/>
        </w:rPr>
        <w:t xml:space="preserve">Freeman Ph., « Classical Ethnography and the </w:t>
      </w:r>
      <w:proofErr w:type="gramStart"/>
      <w:r w:rsidRPr="003E01A3">
        <w:rPr>
          <w:rFonts w:ascii="Times New Roman" w:hAnsi="Times New Roman"/>
          <w:sz w:val="24"/>
          <w:szCs w:val="24"/>
          <w:lang w:val="en-US"/>
        </w:rPr>
        <w:t>Celts :</w:t>
      </w:r>
      <w:proofErr w:type="gramEnd"/>
      <w:r w:rsidRPr="003E01A3">
        <w:rPr>
          <w:rFonts w:ascii="Times New Roman" w:hAnsi="Times New Roman"/>
          <w:sz w:val="24"/>
          <w:szCs w:val="24"/>
          <w:lang w:val="en-US"/>
        </w:rPr>
        <w:t xml:space="preserve"> Can We trust the Sources ? », </w:t>
      </w:r>
      <w:r w:rsidRPr="003E01A3">
        <w:rPr>
          <w:rFonts w:ascii="Times New Roman" w:hAnsi="Times New Roman"/>
          <w:i/>
          <w:sz w:val="24"/>
          <w:szCs w:val="24"/>
          <w:lang w:val="en-US"/>
        </w:rPr>
        <w:t>Proceedings of the Harvard Celtic Colloquium</w:t>
      </w:r>
      <w:r w:rsidRPr="003E01A3">
        <w:rPr>
          <w:rFonts w:ascii="Times New Roman" w:hAnsi="Times New Roman"/>
          <w:sz w:val="24"/>
          <w:szCs w:val="24"/>
          <w:lang w:val="en-US"/>
        </w:rPr>
        <w:t xml:space="preserve"> XX, 2000 (2007), 22-28.</w:t>
      </w:r>
    </w:p>
    <w:p w14:paraId="39570245" w14:textId="77777777" w:rsidR="00030825" w:rsidRPr="003E01A3" w:rsidRDefault="00030825" w:rsidP="00030825">
      <w:pPr>
        <w:pStyle w:val="Sansinterligne"/>
        <w:jc w:val="both"/>
        <w:rPr>
          <w:rFonts w:ascii="Times New Roman" w:hAnsi="Times New Roman"/>
          <w:sz w:val="24"/>
          <w:szCs w:val="24"/>
        </w:rPr>
      </w:pPr>
      <w:r w:rsidRPr="003E01A3">
        <w:rPr>
          <w:rFonts w:ascii="Times New Roman" w:hAnsi="Times New Roman"/>
          <w:sz w:val="24"/>
          <w:szCs w:val="24"/>
        </w:rPr>
        <w:t xml:space="preserve">Hatt J.-J., « L’opinion que les Grecs avaient des Celtes », </w:t>
      </w:r>
      <w:r w:rsidRPr="003E01A3">
        <w:rPr>
          <w:rFonts w:ascii="Times New Roman" w:hAnsi="Times New Roman"/>
          <w:i/>
          <w:sz w:val="24"/>
          <w:szCs w:val="24"/>
        </w:rPr>
        <w:t>Ktèma</w:t>
      </w:r>
      <w:r w:rsidRPr="003E01A3">
        <w:rPr>
          <w:rFonts w:ascii="Times New Roman" w:hAnsi="Times New Roman"/>
          <w:sz w:val="24"/>
          <w:szCs w:val="24"/>
        </w:rPr>
        <w:t>, 9, 1984, 79-87.</w:t>
      </w:r>
    </w:p>
    <w:p w14:paraId="59FEF47F" w14:textId="77777777" w:rsidR="00030825" w:rsidRPr="003E01A3" w:rsidRDefault="00030825" w:rsidP="00030825">
      <w:pPr>
        <w:pStyle w:val="Sansinterligne"/>
        <w:jc w:val="both"/>
        <w:rPr>
          <w:rFonts w:ascii="Times New Roman" w:hAnsi="Times New Roman"/>
          <w:sz w:val="24"/>
          <w:szCs w:val="24"/>
        </w:rPr>
      </w:pPr>
      <w:r w:rsidRPr="003E01A3">
        <w:rPr>
          <w:rFonts w:ascii="Times New Roman" w:hAnsi="Times New Roman"/>
          <w:sz w:val="24"/>
          <w:szCs w:val="24"/>
        </w:rPr>
        <w:t xml:space="preserve">Heurgon J., « Caton et la Gaule Cisalpine », in </w:t>
      </w:r>
      <w:r w:rsidRPr="003E01A3">
        <w:rPr>
          <w:rFonts w:ascii="Times New Roman" w:hAnsi="Times New Roman"/>
          <w:i/>
          <w:sz w:val="24"/>
          <w:szCs w:val="24"/>
        </w:rPr>
        <w:t>Mélanges d’histoire ancienne offerts à William Seston</w:t>
      </w:r>
      <w:r w:rsidRPr="003E01A3">
        <w:rPr>
          <w:rFonts w:ascii="Times New Roman" w:hAnsi="Times New Roman"/>
          <w:sz w:val="24"/>
          <w:szCs w:val="24"/>
        </w:rPr>
        <w:t>, Publications de la Sorbonne, série « Etudes », tome 9, 1974, 231-247.</w:t>
      </w:r>
    </w:p>
    <w:p w14:paraId="20B5370A" w14:textId="77777777" w:rsidR="00030825" w:rsidRPr="003E01A3" w:rsidRDefault="00030825" w:rsidP="00030825">
      <w:pPr>
        <w:pStyle w:val="Sansinterligne"/>
        <w:jc w:val="both"/>
        <w:rPr>
          <w:rFonts w:ascii="Times New Roman" w:hAnsi="Times New Roman"/>
          <w:sz w:val="24"/>
          <w:szCs w:val="24"/>
        </w:rPr>
      </w:pPr>
      <w:r w:rsidRPr="003E01A3">
        <w:rPr>
          <w:rFonts w:ascii="Times New Roman" w:hAnsi="Times New Roman"/>
          <w:sz w:val="24"/>
          <w:szCs w:val="24"/>
        </w:rPr>
        <w:t xml:space="preserve">Jullian C., XXVIII. Les Celtes chez Hérodote, </w:t>
      </w:r>
      <w:r w:rsidRPr="003E01A3">
        <w:rPr>
          <w:rFonts w:ascii="Times New Roman" w:hAnsi="Times New Roman"/>
          <w:i/>
          <w:sz w:val="24"/>
          <w:szCs w:val="24"/>
        </w:rPr>
        <w:t>Revue des Etudes Anciennes</w:t>
      </w:r>
      <w:r w:rsidRPr="003E01A3">
        <w:rPr>
          <w:rFonts w:ascii="Times New Roman" w:hAnsi="Times New Roman"/>
          <w:sz w:val="24"/>
          <w:szCs w:val="24"/>
        </w:rPr>
        <w:t xml:space="preserve"> 7-4, 1905, 375-392.</w:t>
      </w:r>
    </w:p>
    <w:p w14:paraId="630D2C15" w14:textId="77777777" w:rsidR="00030825" w:rsidRPr="003E01A3" w:rsidRDefault="00030825" w:rsidP="00030825">
      <w:pPr>
        <w:pStyle w:val="Sansinterligne"/>
        <w:jc w:val="both"/>
        <w:rPr>
          <w:rFonts w:ascii="Times New Roman" w:hAnsi="Times New Roman"/>
          <w:sz w:val="24"/>
          <w:szCs w:val="24"/>
          <w:lang w:val="en-US"/>
        </w:rPr>
      </w:pPr>
      <w:r w:rsidRPr="003E01A3">
        <w:rPr>
          <w:rFonts w:ascii="Times New Roman" w:hAnsi="Times New Roman"/>
          <w:sz w:val="24"/>
          <w:szCs w:val="24"/>
          <w:lang w:val="en-US"/>
        </w:rPr>
        <w:t xml:space="preserve">Momigliano A., « The Celts and the Greeks », in </w:t>
      </w:r>
      <w:r w:rsidRPr="003E01A3">
        <w:rPr>
          <w:rFonts w:ascii="Times New Roman" w:hAnsi="Times New Roman"/>
          <w:i/>
          <w:sz w:val="24"/>
          <w:szCs w:val="24"/>
          <w:lang w:val="en-US"/>
        </w:rPr>
        <w:t>Alien Wisdom. The limits of hellenization</w:t>
      </w:r>
      <w:r w:rsidRPr="003E01A3">
        <w:rPr>
          <w:rFonts w:ascii="Times New Roman" w:hAnsi="Times New Roman"/>
          <w:sz w:val="24"/>
          <w:szCs w:val="24"/>
          <w:lang w:val="en-US"/>
        </w:rPr>
        <w:t>, Cambridge University Press, 1975, chap. 3, 50-73.</w:t>
      </w:r>
    </w:p>
    <w:p w14:paraId="27AF41D0" w14:textId="34CA5C89" w:rsidR="00030825" w:rsidRPr="003E01A3" w:rsidRDefault="00030825" w:rsidP="00030825">
      <w:pPr>
        <w:pStyle w:val="Sansinterligne"/>
        <w:jc w:val="both"/>
        <w:rPr>
          <w:rFonts w:ascii="Times New Roman" w:hAnsi="Times New Roman"/>
          <w:sz w:val="24"/>
          <w:szCs w:val="24"/>
          <w:lang w:val="en-US"/>
        </w:rPr>
      </w:pPr>
      <w:r w:rsidRPr="003E01A3">
        <w:rPr>
          <w:rFonts w:ascii="Times New Roman" w:hAnsi="Times New Roman"/>
          <w:sz w:val="24"/>
          <w:szCs w:val="24"/>
          <w:lang w:val="en-US"/>
        </w:rPr>
        <w:t xml:space="preserve">Rankin H.D., </w:t>
      </w:r>
      <w:r w:rsidRPr="003E01A3">
        <w:rPr>
          <w:rFonts w:ascii="Times New Roman" w:hAnsi="Times New Roman"/>
          <w:i/>
          <w:sz w:val="24"/>
          <w:szCs w:val="24"/>
          <w:lang w:val="en-US"/>
        </w:rPr>
        <w:t>Celts and the Classical World</w:t>
      </w:r>
      <w:r w:rsidRPr="003E01A3">
        <w:rPr>
          <w:rFonts w:ascii="Times New Roman" w:hAnsi="Times New Roman"/>
          <w:sz w:val="24"/>
          <w:szCs w:val="24"/>
          <w:lang w:val="en-US"/>
        </w:rPr>
        <w:t>, Routledge éd., Londres, 1987. </w:t>
      </w:r>
    </w:p>
    <w:p w14:paraId="5D85BA9E" w14:textId="77777777" w:rsidR="007155B7" w:rsidRPr="00F96C78" w:rsidRDefault="007155B7" w:rsidP="007155B7">
      <w:pPr>
        <w:pStyle w:val="Sansinterligne"/>
        <w:jc w:val="both"/>
        <w:rPr>
          <w:rFonts w:ascii="Times New Roman" w:hAnsi="Times New Roman"/>
          <w:color w:val="FF0000"/>
          <w:sz w:val="24"/>
          <w:szCs w:val="24"/>
          <w:lang w:val="en-US"/>
        </w:rPr>
      </w:pPr>
      <w:r w:rsidRPr="008D474C">
        <w:rPr>
          <w:rFonts w:ascii="Times New Roman" w:hAnsi="Times New Roman"/>
          <w:sz w:val="24"/>
          <w:szCs w:val="24"/>
          <w:lang w:val="en-US"/>
        </w:rPr>
        <w:t xml:space="preserve">*Sims-Williams P., « The Location of the Celts according to Hecateus, Herodotus and other greek writers », </w:t>
      </w:r>
      <w:r w:rsidRPr="008D474C">
        <w:rPr>
          <w:rFonts w:ascii="Times New Roman" w:hAnsi="Times New Roman"/>
          <w:i/>
          <w:sz w:val="24"/>
          <w:szCs w:val="24"/>
          <w:lang w:val="en-US"/>
        </w:rPr>
        <w:t>Etudes Celtiques</w:t>
      </w:r>
      <w:r w:rsidRPr="008D474C">
        <w:rPr>
          <w:rFonts w:ascii="Times New Roman" w:hAnsi="Times New Roman"/>
          <w:sz w:val="24"/>
          <w:szCs w:val="24"/>
          <w:lang w:val="en-US"/>
        </w:rPr>
        <w:t xml:space="preserve"> XLII, 2016, 7-32</w:t>
      </w:r>
      <w:r>
        <w:rPr>
          <w:rFonts w:ascii="Times New Roman" w:hAnsi="Times New Roman"/>
          <w:sz w:val="24"/>
          <w:szCs w:val="24"/>
          <w:lang w:val="en-US"/>
        </w:rPr>
        <w:t xml:space="preserve"> / </w:t>
      </w:r>
      <w:r w:rsidRPr="00F96C78">
        <w:rPr>
          <w:rFonts w:ascii="Times New Roman" w:hAnsi="Times New Roman"/>
          <w:color w:val="FF0000"/>
          <w:sz w:val="24"/>
          <w:szCs w:val="24"/>
          <w:lang w:val="en-US"/>
        </w:rPr>
        <w:t>https://www.persee.fr/doc/ecelt_0373-1928_2016_num_42_1_2467</w:t>
      </w:r>
    </w:p>
    <w:p w14:paraId="70E34C97" w14:textId="1975315E" w:rsidR="004249DF" w:rsidRPr="003E01A3" w:rsidRDefault="004249DF" w:rsidP="00030825">
      <w:pPr>
        <w:pStyle w:val="Sansinterligne"/>
        <w:jc w:val="both"/>
        <w:rPr>
          <w:rStyle w:val="Aucun"/>
          <w:rFonts w:ascii="Times New Roman" w:hAnsi="Times New Roman"/>
          <w:sz w:val="24"/>
          <w:szCs w:val="24"/>
          <w:lang w:val="en-US"/>
        </w:rPr>
      </w:pPr>
      <w:r w:rsidRPr="003E01A3">
        <w:rPr>
          <w:rStyle w:val="Aucun"/>
          <w:rFonts w:ascii="Times New Roman" w:hAnsi="Times New Roman"/>
          <w:sz w:val="24"/>
          <w:szCs w:val="24"/>
          <w:lang w:val="en-US"/>
        </w:rPr>
        <w:t xml:space="preserve">*Sims-Williams P., </w:t>
      </w:r>
      <w:r w:rsidRPr="003E01A3">
        <w:rPr>
          <w:rFonts w:ascii="Times New Roman" w:hAnsi="Times New Roman"/>
          <w:sz w:val="24"/>
          <w:szCs w:val="24"/>
          <w:lang w:val="en-US"/>
        </w:rPr>
        <w:t>« </w:t>
      </w:r>
      <w:r w:rsidRPr="003E01A3">
        <w:rPr>
          <w:rStyle w:val="Aucun"/>
          <w:rFonts w:ascii="Times New Roman" w:hAnsi="Times New Roman"/>
          <w:sz w:val="24"/>
          <w:szCs w:val="24"/>
          <w:lang w:val="en-US"/>
        </w:rPr>
        <w:t>An Alternative to "Celtic from the East" and "Celtic from the West"</w:t>
      </w:r>
      <w:r w:rsidRPr="003E01A3">
        <w:rPr>
          <w:rFonts w:ascii="Times New Roman" w:hAnsi="Times New Roman"/>
          <w:sz w:val="24"/>
          <w:szCs w:val="24"/>
          <w:lang w:val="en-US"/>
        </w:rPr>
        <w:t>»</w:t>
      </w:r>
      <w:r w:rsidRPr="003E01A3">
        <w:rPr>
          <w:rStyle w:val="Aucun"/>
          <w:rFonts w:ascii="Times New Roman" w:hAnsi="Times New Roman"/>
          <w:sz w:val="24"/>
          <w:szCs w:val="24"/>
          <w:lang w:val="en-US"/>
        </w:rPr>
        <w:t xml:space="preserve">, </w:t>
      </w:r>
      <w:r w:rsidRPr="003E01A3">
        <w:rPr>
          <w:rStyle w:val="Aucun"/>
          <w:rFonts w:ascii="Times New Roman" w:hAnsi="Times New Roman"/>
          <w:i/>
          <w:iCs/>
          <w:sz w:val="24"/>
          <w:szCs w:val="24"/>
          <w:lang w:val="en-US"/>
        </w:rPr>
        <w:t>Cambridge Archaeological Journal</w:t>
      </w:r>
      <w:r w:rsidRPr="003E01A3">
        <w:rPr>
          <w:rStyle w:val="Aucun"/>
          <w:rFonts w:ascii="Times New Roman" w:hAnsi="Times New Roman"/>
          <w:sz w:val="24"/>
          <w:szCs w:val="24"/>
          <w:lang w:val="en-US"/>
        </w:rPr>
        <w:t xml:space="preserve"> 30-3, 2020, 511-529.</w:t>
      </w:r>
    </w:p>
    <w:p w14:paraId="3FF38F6E" w14:textId="4CDE1956" w:rsidR="004249DF" w:rsidRPr="003E01A3" w:rsidRDefault="004249DF" w:rsidP="00030825">
      <w:pPr>
        <w:pStyle w:val="Sansinterligne"/>
        <w:jc w:val="both"/>
        <w:rPr>
          <w:rFonts w:ascii="Times New Roman" w:hAnsi="Times New Roman"/>
          <w:sz w:val="24"/>
          <w:szCs w:val="24"/>
          <w:lang w:val="en-US"/>
        </w:rPr>
      </w:pPr>
      <w:r w:rsidRPr="003E01A3">
        <w:rPr>
          <w:rFonts w:ascii="Times New Roman" w:hAnsi="Times New Roman"/>
          <w:sz w:val="24"/>
          <w:szCs w:val="24"/>
          <w:lang w:val="en-US"/>
        </w:rPr>
        <w:t>https://www.academia.edu/43663655/An_Alternative_to_Celtic_from_the_East_and_Celtic_from_the_West</w:t>
      </w:r>
    </w:p>
    <w:p w14:paraId="322C277E" w14:textId="1311CD25" w:rsidR="00030825" w:rsidRPr="003E01A3" w:rsidRDefault="00030825" w:rsidP="00030825">
      <w:pPr>
        <w:pStyle w:val="Sansinterligne"/>
        <w:jc w:val="both"/>
        <w:rPr>
          <w:rFonts w:ascii="Times New Roman" w:hAnsi="Times New Roman"/>
          <w:sz w:val="24"/>
          <w:szCs w:val="24"/>
          <w:lang w:val="en-US"/>
        </w:rPr>
      </w:pPr>
      <w:r w:rsidRPr="003E01A3">
        <w:rPr>
          <w:rFonts w:ascii="Times New Roman" w:hAnsi="Times New Roman"/>
          <w:sz w:val="24"/>
          <w:szCs w:val="24"/>
          <w:lang w:val="en-US"/>
        </w:rPr>
        <w:t xml:space="preserve">Tierney J., « The Celtic Ethnography of Posidonius », </w:t>
      </w:r>
      <w:r w:rsidRPr="003E01A3">
        <w:rPr>
          <w:rFonts w:ascii="Times New Roman" w:hAnsi="Times New Roman"/>
          <w:i/>
          <w:sz w:val="24"/>
          <w:szCs w:val="24"/>
          <w:lang w:val="en-US"/>
        </w:rPr>
        <w:t>Proceedings of the Royal Irish Academy</w:t>
      </w:r>
      <w:r w:rsidRPr="003E01A3">
        <w:rPr>
          <w:rFonts w:ascii="Times New Roman" w:hAnsi="Times New Roman"/>
          <w:sz w:val="24"/>
          <w:szCs w:val="24"/>
          <w:lang w:val="en-US"/>
        </w:rPr>
        <w:t xml:space="preserve"> 60, section C, n° 5, 1960, 189-275.</w:t>
      </w:r>
    </w:p>
    <w:p w14:paraId="1E90A3DB" w14:textId="2DEAC002" w:rsidR="00E977F8" w:rsidRPr="001C3D0F" w:rsidRDefault="00E977F8" w:rsidP="00987DE7">
      <w:pPr>
        <w:pStyle w:val="Sansinterligne"/>
        <w:jc w:val="both"/>
        <w:rPr>
          <w:rStyle w:val="Lienhypertexte"/>
          <w:rFonts w:ascii="Times New Roman" w:hAnsi="Times New Roman"/>
          <w:sz w:val="24"/>
          <w:szCs w:val="24"/>
          <w:lang w:val="en-US"/>
        </w:rPr>
      </w:pPr>
    </w:p>
    <w:p w14:paraId="686BD41D" w14:textId="77777777" w:rsidR="00E977F8" w:rsidRPr="003E01A3" w:rsidRDefault="00E977F8" w:rsidP="00E977F8">
      <w:pPr>
        <w:pStyle w:val="Sansinterligne"/>
        <w:jc w:val="both"/>
        <w:rPr>
          <w:rFonts w:ascii="Times New Roman" w:hAnsi="Times New Roman"/>
          <w:sz w:val="24"/>
          <w:szCs w:val="24"/>
        </w:rPr>
      </w:pPr>
      <w:r w:rsidRPr="003E01A3">
        <w:rPr>
          <w:rFonts w:ascii="Times New Roman" w:hAnsi="Times New Roman"/>
          <w:sz w:val="24"/>
          <w:szCs w:val="24"/>
        </w:rPr>
        <w:t xml:space="preserve">De Giorgio J.-P. (dir.), </w:t>
      </w:r>
      <w:r w:rsidRPr="003E01A3">
        <w:rPr>
          <w:rFonts w:ascii="Times New Roman" w:hAnsi="Times New Roman"/>
          <w:i/>
          <w:iCs/>
          <w:sz w:val="24"/>
          <w:szCs w:val="24"/>
        </w:rPr>
        <w:t>CESAR. GUERRES. Guerre des Gaules &amp; Guerre civile</w:t>
      </w:r>
      <w:r w:rsidRPr="003E01A3">
        <w:rPr>
          <w:rFonts w:ascii="Times New Roman" w:hAnsi="Times New Roman"/>
          <w:sz w:val="24"/>
          <w:szCs w:val="24"/>
        </w:rPr>
        <w:t>, Les Belles-Lettres éd., Paris, 2020.</w:t>
      </w:r>
    </w:p>
    <w:p w14:paraId="34DC2125" w14:textId="0BB548F6" w:rsidR="005F70B6" w:rsidRDefault="005F70B6" w:rsidP="00987DE7">
      <w:pPr>
        <w:pStyle w:val="Sansinterligne"/>
        <w:jc w:val="both"/>
        <w:rPr>
          <w:rFonts w:ascii="Times New Roman" w:hAnsi="Times New Roman"/>
          <w:color w:val="FF0000"/>
          <w:sz w:val="24"/>
          <w:szCs w:val="24"/>
        </w:rPr>
      </w:pPr>
    </w:p>
    <w:p w14:paraId="44BCB279" w14:textId="2CF7B320" w:rsidR="00E977F8" w:rsidRDefault="00E977F8" w:rsidP="00987DE7">
      <w:pPr>
        <w:pStyle w:val="Sansinterligne"/>
        <w:jc w:val="both"/>
        <w:rPr>
          <w:rFonts w:ascii="Times New Roman" w:hAnsi="Times New Roman"/>
          <w:color w:val="FF0000"/>
          <w:sz w:val="24"/>
          <w:szCs w:val="24"/>
        </w:rPr>
      </w:pPr>
    </w:p>
    <w:p w14:paraId="359F8C52" w14:textId="44D6FA62" w:rsidR="003E01A3" w:rsidRDefault="003E01A3" w:rsidP="00987DE7">
      <w:pPr>
        <w:pStyle w:val="Sansinterligne"/>
        <w:jc w:val="both"/>
        <w:rPr>
          <w:rFonts w:ascii="Times New Roman" w:hAnsi="Times New Roman"/>
          <w:color w:val="FF0000"/>
          <w:sz w:val="24"/>
          <w:szCs w:val="24"/>
        </w:rPr>
      </w:pPr>
    </w:p>
    <w:p w14:paraId="06505E37" w14:textId="543B2AF0" w:rsidR="003E01A3" w:rsidRDefault="003E01A3" w:rsidP="00987DE7">
      <w:pPr>
        <w:pStyle w:val="Sansinterligne"/>
        <w:jc w:val="both"/>
        <w:rPr>
          <w:rFonts w:ascii="Times New Roman" w:hAnsi="Times New Roman"/>
          <w:color w:val="FF0000"/>
          <w:sz w:val="24"/>
          <w:szCs w:val="24"/>
        </w:rPr>
      </w:pPr>
    </w:p>
    <w:p w14:paraId="7CEB138C" w14:textId="6159E44F" w:rsidR="003E01A3" w:rsidRDefault="003E01A3" w:rsidP="00987DE7">
      <w:pPr>
        <w:pStyle w:val="Sansinterligne"/>
        <w:jc w:val="both"/>
        <w:rPr>
          <w:rFonts w:ascii="Times New Roman" w:hAnsi="Times New Roman"/>
          <w:color w:val="FF0000"/>
          <w:sz w:val="24"/>
          <w:szCs w:val="24"/>
        </w:rPr>
      </w:pPr>
    </w:p>
    <w:p w14:paraId="50988DAE" w14:textId="07802408" w:rsidR="003E01A3" w:rsidRDefault="003E01A3" w:rsidP="00987DE7">
      <w:pPr>
        <w:pStyle w:val="Sansinterligne"/>
        <w:jc w:val="both"/>
        <w:rPr>
          <w:rFonts w:ascii="Times New Roman" w:hAnsi="Times New Roman"/>
          <w:color w:val="FF0000"/>
          <w:sz w:val="24"/>
          <w:szCs w:val="24"/>
        </w:rPr>
      </w:pPr>
    </w:p>
    <w:p w14:paraId="59F2F5E3" w14:textId="1C6BE35A" w:rsidR="003E01A3" w:rsidRDefault="003E01A3" w:rsidP="00987DE7">
      <w:pPr>
        <w:pStyle w:val="Sansinterligne"/>
        <w:jc w:val="both"/>
        <w:rPr>
          <w:rFonts w:ascii="Times New Roman" w:hAnsi="Times New Roman"/>
          <w:color w:val="FF0000"/>
          <w:sz w:val="24"/>
          <w:szCs w:val="24"/>
        </w:rPr>
      </w:pPr>
    </w:p>
    <w:p w14:paraId="71FDAC90" w14:textId="2BD20B59" w:rsidR="003E01A3" w:rsidRDefault="003E01A3" w:rsidP="00987DE7">
      <w:pPr>
        <w:pStyle w:val="Sansinterligne"/>
        <w:jc w:val="both"/>
        <w:rPr>
          <w:rFonts w:ascii="Times New Roman" w:hAnsi="Times New Roman"/>
          <w:color w:val="FF0000"/>
          <w:sz w:val="24"/>
          <w:szCs w:val="24"/>
        </w:rPr>
      </w:pPr>
    </w:p>
    <w:p w14:paraId="340A12B3" w14:textId="77777777" w:rsidR="003E01A3" w:rsidRDefault="003E01A3" w:rsidP="00987DE7">
      <w:pPr>
        <w:pStyle w:val="Sansinterligne"/>
        <w:jc w:val="both"/>
        <w:rPr>
          <w:rFonts w:ascii="Times New Roman" w:hAnsi="Times New Roman"/>
          <w:color w:val="FF0000"/>
          <w:sz w:val="24"/>
          <w:szCs w:val="24"/>
        </w:rPr>
      </w:pPr>
    </w:p>
    <w:p w14:paraId="3912AC61" w14:textId="77777777" w:rsidR="003E01A3" w:rsidRPr="00E977F8" w:rsidRDefault="003E01A3" w:rsidP="00987DE7">
      <w:pPr>
        <w:pStyle w:val="Sansinterligne"/>
        <w:jc w:val="both"/>
        <w:rPr>
          <w:rFonts w:ascii="Times New Roman" w:hAnsi="Times New Roman"/>
          <w:color w:val="FF0000"/>
          <w:sz w:val="24"/>
          <w:szCs w:val="24"/>
        </w:rPr>
      </w:pPr>
    </w:p>
    <w:p w14:paraId="4B673EDB" w14:textId="1FD1257C" w:rsidR="003E01A3" w:rsidRPr="00F401AC" w:rsidRDefault="003E01A3" w:rsidP="003E01A3">
      <w:pPr>
        <w:jc w:val="center"/>
      </w:pPr>
      <w:r w:rsidRPr="00F401AC">
        <w:lastRenderedPageBreak/>
        <w:t>Université Rennes 2 / 202</w:t>
      </w:r>
      <w:r w:rsidR="00C03202">
        <w:t>5</w:t>
      </w:r>
      <w:r w:rsidRPr="00F401AC">
        <w:t>-202</w:t>
      </w:r>
      <w:r w:rsidR="00C03202">
        <w:t>6</w:t>
      </w:r>
    </w:p>
    <w:p w14:paraId="52E32FE6" w14:textId="77777777" w:rsidR="003E01A3" w:rsidRDefault="003E01A3" w:rsidP="003E01A3">
      <w:pPr>
        <w:jc w:val="center"/>
        <w:rPr>
          <w:bCs/>
        </w:rPr>
      </w:pPr>
      <w:r w:rsidRPr="00F401AC">
        <w:rPr>
          <w:bCs/>
        </w:rPr>
        <w:t>Licence 2 - Semestre 4</w:t>
      </w:r>
    </w:p>
    <w:p w14:paraId="70B16A4F" w14:textId="77777777" w:rsidR="003E01A3" w:rsidRPr="00F401AC" w:rsidRDefault="003E01A3" w:rsidP="003E01A3">
      <w:pPr>
        <w:jc w:val="center"/>
      </w:pPr>
    </w:p>
    <w:p w14:paraId="61485E25" w14:textId="77777777" w:rsidR="003E01A3" w:rsidRPr="008E5EC4" w:rsidRDefault="003E01A3" w:rsidP="003E01A3">
      <w:pPr>
        <w:jc w:val="center"/>
        <w:rPr>
          <w:b/>
        </w:rPr>
      </w:pPr>
      <w:r w:rsidRPr="004249DF">
        <w:rPr>
          <w:b/>
        </w:rPr>
        <w:t xml:space="preserve">UEO CELTES – </w:t>
      </w:r>
      <w:r w:rsidRPr="00A366E4">
        <w:rPr>
          <w:b/>
        </w:rPr>
        <w:t>Origine et connaissance des mondes celtiques</w:t>
      </w:r>
      <w:r w:rsidRPr="008E5EC4">
        <w:t xml:space="preserve"> </w:t>
      </w:r>
      <w:r>
        <w:rPr>
          <w:b/>
        </w:rPr>
        <w:t>-</w:t>
      </w:r>
      <w:r w:rsidRPr="008E5EC4">
        <w:rPr>
          <w:b/>
        </w:rPr>
        <w:t xml:space="preserve"> code </w:t>
      </w:r>
      <w:r>
        <w:rPr>
          <w:b/>
        </w:rPr>
        <w:t>01FT</w:t>
      </w:r>
      <w:r w:rsidRPr="008E5EC4">
        <w:rPr>
          <w:b/>
        </w:rPr>
        <w:t>H41</w:t>
      </w:r>
    </w:p>
    <w:p w14:paraId="30509E9D" w14:textId="77777777" w:rsidR="003E01A3" w:rsidRDefault="003E01A3" w:rsidP="003E01A3">
      <w:pPr>
        <w:jc w:val="center"/>
        <w:rPr>
          <w:bCs/>
        </w:rPr>
      </w:pPr>
      <w:r w:rsidRPr="00F401AC">
        <w:rPr>
          <w:bCs/>
        </w:rPr>
        <w:t>(CM. V. Defente)</w:t>
      </w:r>
    </w:p>
    <w:p w14:paraId="1FE1B977" w14:textId="77777777" w:rsidR="003E01A3" w:rsidRPr="00F401AC" w:rsidRDefault="003E01A3" w:rsidP="003E01A3">
      <w:pPr>
        <w:jc w:val="center"/>
        <w:rPr>
          <w:bCs/>
        </w:rPr>
      </w:pPr>
    </w:p>
    <w:p w14:paraId="33D10852" w14:textId="77777777" w:rsidR="003E01A3" w:rsidRDefault="003E01A3" w:rsidP="003E01A3">
      <w:pPr>
        <w:rPr>
          <w:b/>
        </w:rPr>
      </w:pPr>
    </w:p>
    <w:p w14:paraId="753909AD" w14:textId="24D6AEC6" w:rsidR="003E01A3" w:rsidRPr="00C74F36" w:rsidRDefault="003E01A3" w:rsidP="003E01A3">
      <w:r w:rsidRPr="0085056D">
        <w:rPr>
          <w:b/>
          <w:bCs/>
        </w:rPr>
        <w:t xml:space="preserve">CM1 </w:t>
      </w:r>
      <w:r>
        <w:t xml:space="preserve">– Les Celtes de l’Antiquité / vendredi </w:t>
      </w:r>
      <w:r w:rsidR="0017466A">
        <w:t>24</w:t>
      </w:r>
      <w:r>
        <w:t xml:space="preserve"> janvier 202</w:t>
      </w:r>
      <w:r w:rsidR="0017466A">
        <w:t>5</w:t>
      </w:r>
      <w:r>
        <w:t>, 10h45</w:t>
      </w:r>
      <w:r w:rsidR="0017466A">
        <w:t xml:space="preserve"> - </w:t>
      </w:r>
      <w:r>
        <w:t>12h45</w:t>
      </w:r>
    </w:p>
    <w:p w14:paraId="7A5F2F3E" w14:textId="5EF161A3" w:rsidR="005F70B6" w:rsidRDefault="00B52C14" w:rsidP="00987DE7">
      <w:pPr>
        <w:pStyle w:val="Sansinterligne"/>
        <w:jc w:val="both"/>
        <w:rPr>
          <w:rFonts w:ascii="Times New Roman" w:hAnsi="Times New Roman"/>
          <w:sz w:val="24"/>
          <w:szCs w:val="24"/>
        </w:rPr>
      </w:pPr>
      <w:r>
        <w:rPr>
          <w:rFonts w:ascii="Times New Roman" w:hAnsi="Times New Roman"/>
          <w:sz w:val="24"/>
          <w:szCs w:val="24"/>
          <w:u w:val="single"/>
        </w:rPr>
        <w:t>Notes de</w:t>
      </w:r>
      <w:r w:rsidR="005F70B6" w:rsidRPr="005F70B6">
        <w:rPr>
          <w:rFonts w:ascii="Times New Roman" w:hAnsi="Times New Roman"/>
          <w:sz w:val="24"/>
          <w:szCs w:val="24"/>
          <w:u w:val="single"/>
        </w:rPr>
        <w:t xml:space="preserve"> cours</w:t>
      </w:r>
      <w:r w:rsidR="005F70B6" w:rsidRPr="005F70B6">
        <w:rPr>
          <w:rFonts w:ascii="Times New Roman" w:hAnsi="Times New Roman"/>
          <w:sz w:val="24"/>
          <w:szCs w:val="24"/>
        </w:rPr>
        <w:t> :</w:t>
      </w:r>
      <w:r w:rsidR="00304A5B">
        <w:rPr>
          <w:rFonts w:ascii="Times New Roman" w:hAnsi="Times New Roman"/>
          <w:sz w:val="24"/>
          <w:szCs w:val="24"/>
        </w:rPr>
        <w:t xml:space="preserve"> </w:t>
      </w:r>
    </w:p>
    <w:p w14:paraId="7990633F" w14:textId="565118AA" w:rsidR="00C5257D" w:rsidRDefault="00070C78" w:rsidP="00987DE7">
      <w:pPr>
        <w:pStyle w:val="Sansinterligne"/>
        <w:jc w:val="both"/>
        <w:rPr>
          <w:rFonts w:ascii="Times New Roman" w:hAnsi="Times New Roman"/>
          <w:sz w:val="24"/>
          <w:szCs w:val="24"/>
        </w:rPr>
      </w:pPr>
      <w:r>
        <w:rPr>
          <w:rFonts w:ascii="Times New Roman" w:hAnsi="Times New Roman"/>
          <w:sz w:val="24"/>
          <w:szCs w:val="24"/>
        </w:rPr>
        <w:t>L</w:t>
      </w:r>
      <w:r w:rsidRPr="00070C78">
        <w:rPr>
          <w:rFonts w:ascii="Times New Roman" w:hAnsi="Times New Roman"/>
          <w:sz w:val="24"/>
          <w:szCs w:val="24"/>
        </w:rPr>
        <w:t>e mot « celte » est employé dans des domaines aussi divers que la linguistique, l’archéologie, l’anthropologie, la génétique</w:t>
      </w:r>
      <w:r>
        <w:rPr>
          <w:rFonts w:ascii="Times New Roman" w:hAnsi="Times New Roman"/>
          <w:sz w:val="24"/>
          <w:szCs w:val="24"/>
        </w:rPr>
        <w:t xml:space="preserve">. Mais </w:t>
      </w:r>
      <w:r w:rsidRPr="00070C78">
        <w:rPr>
          <w:rFonts w:ascii="Times New Roman" w:hAnsi="Times New Roman"/>
          <w:sz w:val="24"/>
          <w:szCs w:val="24"/>
        </w:rPr>
        <w:t xml:space="preserve">ce sont des géographes et </w:t>
      </w:r>
      <w:r>
        <w:rPr>
          <w:rFonts w:ascii="Times New Roman" w:hAnsi="Times New Roman"/>
          <w:sz w:val="24"/>
          <w:szCs w:val="24"/>
        </w:rPr>
        <w:t xml:space="preserve">des </w:t>
      </w:r>
      <w:r w:rsidRPr="00070C78">
        <w:rPr>
          <w:rFonts w:ascii="Times New Roman" w:hAnsi="Times New Roman"/>
          <w:sz w:val="24"/>
          <w:szCs w:val="24"/>
        </w:rPr>
        <w:t>historiens grecs qui,</w:t>
      </w:r>
      <w:r w:rsidR="00633A2B" w:rsidRPr="00633A2B">
        <w:rPr>
          <w:rFonts w:ascii="Times New Roman" w:hAnsi="Times New Roman"/>
          <w:sz w:val="24"/>
          <w:szCs w:val="24"/>
        </w:rPr>
        <w:t xml:space="preserve"> </w:t>
      </w:r>
      <w:r w:rsidR="00633A2B" w:rsidRPr="00070C78">
        <w:rPr>
          <w:rFonts w:ascii="Times New Roman" w:hAnsi="Times New Roman"/>
          <w:sz w:val="24"/>
          <w:szCs w:val="24"/>
        </w:rPr>
        <w:t xml:space="preserve">les premiers, </w:t>
      </w:r>
      <w:r w:rsidR="00633A2B">
        <w:rPr>
          <w:rFonts w:ascii="Times New Roman" w:hAnsi="Times New Roman"/>
          <w:sz w:val="24"/>
          <w:szCs w:val="24"/>
        </w:rPr>
        <w:t xml:space="preserve">ont </w:t>
      </w:r>
      <w:r w:rsidR="00633A2B" w:rsidRPr="00070C78">
        <w:rPr>
          <w:rFonts w:ascii="Times New Roman" w:hAnsi="Times New Roman"/>
          <w:sz w:val="24"/>
          <w:szCs w:val="24"/>
        </w:rPr>
        <w:t>utilisé le mot « celte »</w:t>
      </w:r>
      <w:r w:rsidR="00633A2B">
        <w:rPr>
          <w:rFonts w:ascii="Times New Roman" w:hAnsi="Times New Roman"/>
          <w:sz w:val="24"/>
          <w:szCs w:val="24"/>
        </w:rPr>
        <w:t>, r</w:t>
      </w:r>
      <w:r w:rsidRPr="00070C78">
        <w:rPr>
          <w:rFonts w:ascii="Times New Roman" w:hAnsi="Times New Roman"/>
          <w:sz w:val="24"/>
          <w:szCs w:val="24"/>
        </w:rPr>
        <w:t>apportant des informations relatives aux lointaines terres de l’ouest de l’Europe, dans des ouvrages datables des VIe-Ve siècles av. J.-C. Si le mot Κέλται</w:t>
      </w:r>
      <w:r w:rsidRPr="00070C78">
        <w:rPr>
          <w:rFonts w:ascii="Times New Roman" w:hAnsi="Times New Roman"/>
          <w:i/>
          <w:sz w:val="24"/>
          <w:szCs w:val="24"/>
        </w:rPr>
        <w:t xml:space="preserve"> / Keltoi</w:t>
      </w:r>
      <w:r w:rsidRPr="00070C78">
        <w:rPr>
          <w:rFonts w:ascii="Times New Roman" w:hAnsi="Times New Roman"/>
          <w:sz w:val="24"/>
          <w:szCs w:val="24"/>
        </w:rPr>
        <w:t>, traduit par « Celtes », a d’abord été employé pour nommer des lieux et des espaces géographiques, ce mot est également associé à d’autres domaines, tel que celui de la guerre</w:t>
      </w:r>
      <w:r w:rsidRPr="00070C78">
        <w:rPr>
          <w:rStyle w:val="Appelnotedebasdep"/>
          <w:rFonts w:ascii="Times New Roman" w:hAnsi="Times New Roman"/>
          <w:sz w:val="24"/>
          <w:szCs w:val="24"/>
        </w:rPr>
        <w:footnoteReference w:id="1"/>
      </w:r>
      <w:r w:rsidRPr="00070C78">
        <w:rPr>
          <w:rFonts w:ascii="Times New Roman" w:hAnsi="Times New Roman"/>
          <w:sz w:val="24"/>
          <w:szCs w:val="24"/>
        </w:rPr>
        <w:t>, de la religion</w:t>
      </w:r>
      <w:r w:rsidRPr="00070C78">
        <w:rPr>
          <w:rStyle w:val="Appelnotedebasdep"/>
          <w:rFonts w:ascii="Times New Roman" w:hAnsi="Times New Roman"/>
          <w:sz w:val="24"/>
          <w:szCs w:val="24"/>
        </w:rPr>
        <w:footnoteReference w:id="2"/>
      </w:r>
      <w:r w:rsidRPr="00070C78">
        <w:rPr>
          <w:rFonts w:ascii="Times New Roman" w:hAnsi="Times New Roman"/>
          <w:sz w:val="24"/>
          <w:szCs w:val="24"/>
        </w:rPr>
        <w:t xml:space="preserve"> ou encore de l’ethnographie</w:t>
      </w:r>
      <w:r w:rsidRPr="00070C78">
        <w:rPr>
          <w:rStyle w:val="Appelnotedebasdep"/>
          <w:rFonts w:ascii="Times New Roman" w:hAnsi="Times New Roman"/>
          <w:sz w:val="24"/>
          <w:szCs w:val="24"/>
        </w:rPr>
        <w:footnoteReference w:id="3"/>
      </w:r>
      <w:r w:rsidRPr="00070C78">
        <w:rPr>
          <w:rFonts w:ascii="Times New Roman" w:hAnsi="Times New Roman"/>
          <w:sz w:val="24"/>
          <w:szCs w:val="24"/>
        </w:rPr>
        <w:t>.</w:t>
      </w:r>
    </w:p>
    <w:p w14:paraId="002C1CC2" w14:textId="375800A4" w:rsidR="00C5257D" w:rsidRDefault="00C5257D" w:rsidP="00987DE7">
      <w:pPr>
        <w:pStyle w:val="Sansinterligne"/>
        <w:jc w:val="both"/>
        <w:rPr>
          <w:rFonts w:ascii="Times New Roman" w:hAnsi="Times New Roman"/>
          <w:sz w:val="24"/>
          <w:szCs w:val="24"/>
        </w:rPr>
      </w:pPr>
    </w:p>
    <w:p w14:paraId="3912016D" w14:textId="5A51D40B" w:rsidR="00D23701" w:rsidRDefault="00C5257D" w:rsidP="00987DE7">
      <w:pPr>
        <w:pStyle w:val="Sansinterligne"/>
        <w:jc w:val="both"/>
        <w:rPr>
          <w:rFonts w:ascii="Times New Roman" w:hAnsi="Times New Roman"/>
          <w:sz w:val="24"/>
          <w:szCs w:val="24"/>
        </w:rPr>
      </w:pPr>
      <w:r>
        <w:rPr>
          <w:rFonts w:ascii="Times New Roman" w:hAnsi="Times New Roman"/>
          <w:sz w:val="24"/>
          <w:szCs w:val="24"/>
        </w:rPr>
        <w:t>Ces premières mentions concernant les Celtes reflètent la nature des contacts, qui ont fait suite aux explorations par voie maritime, depuis la Méditerranée orientale, par les Grecs.</w:t>
      </w:r>
      <w:r w:rsidR="00D23701">
        <w:rPr>
          <w:rFonts w:ascii="Times New Roman" w:hAnsi="Times New Roman"/>
          <w:sz w:val="24"/>
          <w:szCs w:val="24"/>
        </w:rPr>
        <w:t xml:space="preserve"> Des vestiges de ces anciennes explorations maritimes subsistent dans la littérature antique (en langue grecque, puis en langue latine) signalant l’exploration de l’extrême occident de la Méditerranée (sud de la France, façade méditerranéenne de la péninsule Ibérique et, au-delà du détroit de Gibraltar, les côtes de la façade Atlantique jusque l’Irlande, la Grande-Bretagne et au-delà) et l’exploration de la mer Noire et des fleuves qui s’y jettent, particulièrement le Danube.</w:t>
      </w:r>
    </w:p>
    <w:p w14:paraId="10409526" w14:textId="46D1FBF6" w:rsidR="00D23701" w:rsidRDefault="00D23701" w:rsidP="00987DE7">
      <w:pPr>
        <w:pStyle w:val="Sansinterligne"/>
        <w:jc w:val="both"/>
        <w:rPr>
          <w:rFonts w:ascii="Times New Roman" w:hAnsi="Times New Roman"/>
          <w:sz w:val="24"/>
          <w:szCs w:val="24"/>
        </w:rPr>
      </w:pPr>
      <w:r>
        <w:rPr>
          <w:rFonts w:ascii="Times New Roman" w:hAnsi="Times New Roman"/>
          <w:sz w:val="24"/>
          <w:szCs w:val="24"/>
        </w:rPr>
        <w:t>C’est dans le cadre de la diaspora grecque, dans le courant de la première moitié du Ier millénaire av. J.-C., que s’inscrivent ces premières mentions, qui concernent, pour les plus anciennes d’entre elles actuellement connues, le VIe siècle av. J.-C.</w:t>
      </w:r>
      <w:r w:rsidR="005845B5">
        <w:rPr>
          <w:rFonts w:ascii="Times New Roman" w:hAnsi="Times New Roman"/>
          <w:sz w:val="24"/>
          <w:szCs w:val="24"/>
        </w:rPr>
        <w:t xml:space="preserve"> </w:t>
      </w:r>
    </w:p>
    <w:p w14:paraId="425B6466" w14:textId="472770D3" w:rsidR="00D23701" w:rsidRDefault="00D23701" w:rsidP="00987DE7">
      <w:pPr>
        <w:pStyle w:val="Sansinterligne"/>
        <w:jc w:val="both"/>
        <w:rPr>
          <w:rFonts w:ascii="Times New Roman" w:hAnsi="Times New Roman"/>
          <w:sz w:val="24"/>
          <w:szCs w:val="24"/>
        </w:rPr>
      </w:pPr>
    </w:p>
    <w:p w14:paraId="57ACE100" w14:textId="77777777" w:rsidR="006C2511" w:rsidRDefault="006C2511" w:rsidP="006C2511">
      <w:pPr>
        <w:pStyle w:val="Sansinterligne"/>
        <w:numPr>
          <w:ilvl w:val="0"/>
          <w:numId w:val="1"/>
        </w:numPr>
        <w:jc w:val="both"/>
        <w:rPr>
          <w:rFonts w:ascii="Times New Roman" w:hAnsi="Times New Roman"/>
          <w:sz w:val="24"/>
          <w:szCs w:val="24"/>
        </w:rPr>
      </w:pPr>
      <w:r w:rsidRPr="005845B5">
        <w:rPr>
          <w:rFonts w:ascii="Times New Roman" w:hAnsi="Times New Roman"/>
          <w:sz w:val="24"/>
          <w:szCs w:val="24"/>
        </w:rPr>
        <w:t>Hécatée de Milet (v. 550</w:t>
      </w:r>
      <w:r>
        <w:rPr>
          <w:rFonts w:ascii="Times New Roman" w:hAnsi="Times New Roman"/>
          <w:sz w:val="24"/>
          <w:szCs w:val="24"/>
        </w:rPr>
        <w:t xml:space="preserve"> </w:t>
      </w:r>
      <w:r w:rsidRPr="005845B5">
        <w:rPr>
          <w:rFonts w:ascii="Times New Roman" w:hAnsi="Times New Roman"/>
          <w:sz w:val="24"/>
          <w:szCs w:val="24"/>
        </w:rPr>
        <w:t>av.  J.-C.) – v. 480 av.  J.-C.)</w:t>
      </w:r>
      <w:r>
        <w:rPr>
          <w:rFonts w:ascii="Times New Roman" w:hAnsi="Times New Roman"/>
          <w:sz w:val="24"/>
          <w:szCs w:val="24"/>
        </w:rPr>
        <w:t xml:space="preserve"> cite </w:t>
      </w:r>
      <w:r w:rsidRPr="005845B5">
        <w:rPr>
          <w:rFonts w:ascii="Times New Roman" w:hAnsi="Times New Roman"/>
          <w:i/>
          <w:iCs/>
          <w:sz w:val="24"/>
          <w:szCs w:val="24"/>
        </w:rPr>
        <w:t>Narbon</w:t>
      </w:r>
      <w:r>
        <w:rPr>
          <w:rFonts w:ascii="Times New Roman" w:hAnsi="Times New Roman"/>
          <w:sz w:val="24"/>
          <w:szCs w:val="24"/>
        </w:rPr>
        <w:t>/Narbonne comme étant un marché et une cité celtique et précise que Marseille se trouve à proximité de la Celtique.</w:t>
      </w:r>
    </w:p>
    <w:p w14:paraId="0175EA8D" w14:textId="7BFED20A" w:rsidR="006C2511" w:rsidRDefault="006C2511" w:rsidP="006C2511">
      <w:pPr>
        <w:pStyle w:val="Sansinterligne"/>
        <w:ind w:left="720"/>
        <w:jc w:val="both"/>
        <w:rPr>
          <w:rFonts w:ascii="Times New Roman" w:hAnsi="Times New Roman"/>
          <w:sz w:val="24"/>
          <w:szCs w:val="24"/>
        </w:rPr>
      </w:pPr>
      <w:r>
        <w:rPr>
          <w:rFonts w:ascii="Times New Roman" w:hAnsi="Times New Roman"/>
          <w:sz w:val="24"/>
          <w:szCs w:val="24"/>
        </w:rPr>
        <w:t>A noter que</w:t>
      </w:r>
      <w:r w:rsidRPr="006C2511">
        <w:rPr>
          <w:rFonts w:ascii="Times New Roman" w:hAnsi="Times New Roman"/>
          <w:i/>
          <w:iCs/>
          <w:sz w:val="24"/>
          <w:szCs w:val="24"/>
        </w:rPr>
        <w:t xml:space="preserve"> </w:t>
      </w:r>
      <w:r w:rsidRPr="005845B5">
        <w:rPr>
          <w:rFonts w:ascii="Times New Roman" w:hAnsi="Times New Roman"/>
          <w:i/>
          <w:iCs/>
          <w:sz w:val="24"/>
          <w:szCs w:val="24"/>
        </w:rPr>
        <w:t>Massalia</w:t>
      </w:r>
      <w:r>
        <w:rPr>
          <w:rFonts w:ascii="Times New Roman" w:hAnsi="Times New Roman"/>
          <w:sz w:val="24"/>
          <w:szCs w:val="24"/>
        </w:rPr>
        <w:t>/Marseille est fondée par une colonie phocéenne au VIe siècle av. J.-C.</w:t>
      </w:r>
      <w:r w:rsidR="001C3D0F">
        <w:rPr>
          <w:rFonts w:ascii="Times New Roman" w:hAnsi="Times New Roman"/>
          <w:sz w:val="24"/>
          <w:szCs w:val="24"/>
        </w:rPr>
        <w:t xml:space="preserve"> NB. Phocée, ancienne cité grecque d’Ionie, en Asie </w:t>
      </w:r>
      <w:proofErr w:type="gramStart"/>
      <w:r w:rsidR="001C3D0F">
        <w:rPr>
          <w:rFonts w:ascii="Times New Roman" w:hAnsi="Times New Roman"/>
          <w:sz w:val="24"/>
          <w:szCs w:val="24"/>
        </w:rPr>
        <w:t>mineure</w:t>
      </w:r>
      <w:proofErr w:type="gramEnd"/>
      <w:r w:rsidR="001C3D0F">
        <w:rPr>
          <w:rFonts w:ascii="Times New Roman" w:hAnsi="Times New Roman"/>
          <w:sz w:val="24"/>
          <w:szCs w:val="24"/>
        </w:rPr>
        <w:t>, fondée dans le golfe de Smyrne, aujourd’hui en Turquie, entre le Xe et le VIIIe siècle BC par des Grecs venus de Grèce continentale.</w:t>
      </w:r>
    </w:p>
    <w:p w14:paraId="1436F73B" w14:textId="6CCD9840" w:rsidR="00D23701" w:rsidRDefault="00D23701" w:rsidP="006C2511">
      <w:pPr>
        <w:pStyle w:val="Sansinterligne"/>
        <w:ind w:left="360"/>
        <w:jc w:val="both"/>
        <w:rPr>
          <w:rFonts w:ascii="Times New Roman" w:hAnsi="Times New Roman"/>
          <w:sz w:val="24"/>
          <w:szCs w:val="24"/>
        </w:rPr>
      </w:pPr>
    </w:p>
    <w:p w14:paraId="1F9C7AA8" w14:textId="7E05160E" w:rsidR="005845B5" w:rsidRDefault="005845B5" w:rsidP="00987DE7">
      <w:pPr>
        <w:pStyle w:val="Sansinterligne"/>
        <w:numPr>
          <w:ilvl w:val="0"/>
          <w:numId w:val="1"/>
        </w:numPr>
        <w:jc w:val="both"/>
        <w:rPr>
          <w:rFonts w:ascii="Times New Roman" w:hAnsi="Times New Roman"/>
          <w:sz w:val="24"/>
          <w:szCs w:val="24"/>
        </w:rPr>
      </w:pPr>
      <w:r>
        <w:rPr>
          <w:rFonts w:ascii="Times New Roman" w:hAnsi="Times New Roman"/>
          <w:sz w:val="24"/>
          <w:szCs w:val="24"/>
        </w:rPr>
        <w:lastRenderedPageBreak/>
        <w:t xml:space="preserve">Hérodote (v. 480 </w:t>
      </w:r>
      <w:r w:rsidRPr="005845B5">
        <w:rPr>
          <w:rFonts w:ascii="Times New Roman" w:hAnsi="Times New Roman"/>
          <w:sz w:val="24"/>
          <w:szCs w:val="24"/>
        </w:rPr>
        <w:t xml:space="preserve">av.  </w:t>
      </w:r>
      <w:r w:rsidRPr="00F401AC">
        <w:rPr>
          <w:rFonts w:ascii="Times New Roman" w:hAnsi="Times New Roman"/>
          <w:sz w:val="24"/>
          <w:szCs w:val="24"/>
        </w:rPr>
        <w:t xml:space="preserve">J.-C. – v. 425 av.  </w:t>
      </w:r>
      <w:r w:rsidRPr="005845B5">
        <w:rPr>
          <w:rFonts w:ascii="Times New Roman" w:hAnsi="Times New Roman"/>
          <w:sz w:val="24"/>
          <w:szCs w:val="24"/>
        </w:rPr>
        <w:t xml:space="preserve">J.-C.), </w:t>
      </w:r>
      <w:r w:rsidRPr="005845B5">
        <w:rPr>
          <w:rFonts w:ascii="Times New Roman" w:hAnsi="Times New Roman"/>
          <w:i/>
          <w:iCs/>
          <w:sz w:val="24"/>
          <w:szCs w:val="24"/>
        </w:rPr>
        <w:t>Histoires</w:t>
      </w:r>
      <w:r>
        <w:rPr>
          <w:rFonts w:ascii="Times New Roman" w:hAnsi="Times New Roman"/>
          <w:sz w:val="24"/>
          <w:szCs w:val="24"/>
        </w:rPr>
        <w:t> : dans le</w:t>
      </w:r>
      <w:r w:rsidRPr="005845B5">
        <w:rPr>
          <w:rFonts w:ascii="Times New Roman" w:hAnsi="Times New Roman"/>
          <w:sz w:val="24"/>
          <w:szCs w:val="24"/>
        </w:rPr>
        <w:t xml:space="preserve"> </w:t>
      </w:r>
      <w:r>
        <w:rPr>
          <w:rFonts w:ascii="Times New Roman" w:hAnsi="Times New Roman"/>
          <w:sz w:val="24"/>
          <w:szCs w:val="24"/>
        </w:rPr>
        <w:t>L</w:t>
      </w:r>
      <w:r w:rsidRPr="005845B5">
        <w:rPr>
          <w:rFonts w:ascii="Times New Roman" w:hAnsi="Times New Roman"/>
          <w:sz w:val="24"/>
          <w:szCs w:val="24"/>
        </w:rPr>
        <w:t>ivre II</w:t>
      </w:r>
      <w:r>
        <w:rPr>
          <w:rFonts w:ascii="Times New Roman" w:hAnsi="Times New Roman"/>
          <w:sz w:val="24"/>
          <w:szCs w:val="24"/>
        </w:rPr>
        <w:t>, intégralement consacré à l’Egypte, Hérodote établit une comparaison entre le Nil et l’</w:t>
      </w:r>
      <w:r w:rsidRPr="005845B5">
        <w:rPr>
          <w:rFonts w:ascii="Times New Roman" w:hAnsi="Times New Roman"/>
          <w:i/>
          <w:iCs/>
          <w:sz w:val="24"/>
          <w:szCs w:val="24"/>
        </w:rPr>
        <w:t>Istr</w:t>
      </w:r>
      <w:r>
        <w:rPr>
          <w:rFonts w:ascii="Times New Roman" w:hAnsi="Times New Roman"/>
          <w:i/>
          <w:iCs/>
          <w:sz w:val="24"/>
          <w:szCs w:val="24"/>
        </w:rPr>
        <w:t>os</w:t>
      </w:r>
      <w:r>
        <w:rPr>
          <w:rFonts w:ascii="Times New Roman" w:hAnsi="Times New Roman"/>
          <w:sz w:val="24"/>
          <w:szCs w:val="24"/>
        </w:rPr>
        <w:t xml:space="preserve"> (Danube) et, dans le Livre IV, consacré aux Scythes, présente cinq fleuve</w:t>
      </w:r>
      <w:r w:rsidR="007323A0">
        <w:rPr>
          <w:rFonts w:ascii="Times New Roman" w:hAnsi="Times New Roman"/>
          <w:sz w:val="24"/>
          <w:szCs w:val="24"/>
        </w:rPr>
        <w:t>s</w:t>
      </w:r>
      <w:r>
        <w:rPr>
          <w:rFonts w:ascii="Times New Roman" w:hAnsi="Times New Roman"/>
          <w:sz w:val="24"/>
          <w:szCs w:val="24"/>
        </w:rPr>
        <w:t xml:space="preserve"> de la Scythie</w:t>
      </w:r>
      <w:r w:rsidR="00904724">
        <w:rPr>
          <w:rFonts w:ascii="Times New Roman" w:hAnsi="Times New Roman"/>
          <w:sz w:val="24"/>
          <w:szCs w:val="24"/>
        </w:rPr>
        <w:t>,</w:t>
      </w:r>
      <w:r>
        <w:rPr>
          <w:rFonts w:ascii="Times New Roman" w:hAnsi="Times New Roman"/>
          <w:sz w:val="24"/>
          <w:szCs w:val="24"/>
        </w:rPr>
        <w:t xml:space="preserve"> qui sont navigables depuis la mer, le premier d’entre eux étant l’</w:t>
      </w:r>
      <w:r w:rsidRPr="005845B5">
        <w:rPr>
          <w:rFonts w:ascii="Times New Roman" w:hAnsi="Times New Roman"/>
          <w:i/>
          <w:iCs/>
          <w:sz w:val="24"/>
          <w:szCs w:val="24"/>
        </w:rPr>
        <w:t>Istros</w:t>
      </w:r>
      <w:r>
        <w:rPr>
          <w:rFonts w:ascii="Times New Roman" w:hAnsi="Times New Roman"/>
          <w:sz w:val="24"/>
          <w:szCs w:val="24"/>
        </w:rPr>
        <w:t xml:space="preserve"> (Danube). </w:t>
      </w:r>
    </w:p>
    <w:p w14:paraId="4BD19928" w14:textId="08E492C2" w:rsidR="007323A0" w:rsidRPr="007323A0" w:rsidRDefault="007323A0" w:rsidP="00987DE7">
      <w:pPr>
        <w:pStyle w:val="Sansinterligne"/>
        <w:numPr>
          <w:ilvl w:val="0"/>
          <w:numId w:val="1"/>
        </w:numPr>
        <w:jc w:val="both"/>
        <w:rPr>
          <w:rFonts w:ascii="Times New Roman" w:hAnsi="Times New Roman"/>
          <w:sz w:val="24"/>
          <w:szCs w:val="24"/>
        </w:rPr>
      </w:pPr>
      <w:r w:rsidRPr="007323A0">
        <w:rPr>
          <w:rFonts w:ascii="Times New Roman" w:hAnsi="Times New Roman"/>
          <w:sz w:val="24"/>
          <w:szCs w:val="24"/>
          <w:lang w:val="en-US"/>
        </w:rPr>
        <w:t xml:space="preserve">Ephore (v. 405 av.  </w:t>
      </w:r>
      <w:r w:rsidRPr="00F401AC">
        <w:rPr>
          <w:rFonts w:ascii="Times New Roman" w:hAnsi="Times New Roman"/>
          <w:sz w:val="24"/>
          <w:szCs w:val="24"/>
          <w:lang w:val="en-US"/>
        </w:rPr>
        <w:t xml:space="preserve">J.-C. – v. 330 av.  </w:t>
      </w:r>
      <w:r w:rsidRPr="005845B5">
        <w:rPr>
          <w:rFonts w:ascii="Times New Roman" w:hAnsi="Times New Roman"/>
          <w:sz w:val="24"/>
          <w:szCs w:val="24"/>
        </w:rPr>
        <w:t>J.-C.)</w:t>
      </w:r>
      <w:r>
        <w:rPr>
          <w:rFonts w:ascii="Times New Roman" w:hAnsi="Times New Roman"/>
          <w:sz w:val="24"/>
          <w:szCs w:val="24"/>
        </w:rPr>
        <w:t xml:space="preserve">, </w:t>
      </w:r>
      <w:r w:rsidRPr="007323A0">
        <w:rPr>
          <w:rFonts w:ascii="Times New Roman" w:hAnsi="Times New Roman"/>
          <w:i/>
          <w:iCs/>
          <w:sz w:val="24"/>
          <w:szCs w:val="24"/>
        </w:rPr>
        <w:t>Histoires</w:t>
      </w:r>
      <w:r>
        <w:rPr>
          <w:rFonts w:ascii="Times New Roman" w:hAnsi="Times New Roman"/>
          <w:sz w:val="24"/>
          <w:szCs w:val="24"/>
        </w:rPr>
        <w:t xml:space="preserve"> : l’œuvre d’Ephore est surtout connue grâce aux citations qu’en fait, bien plus tard, Strabon, dans sa </w:t>
      </w:r>
      <w:r w:rsidRPr="007323A0">
        <w:rPr>
          <w:rFonts w:ascii="Times New Roman" w:hAnsi="Times New Roman"/>
          <w:i/>
          <w:iCs/>
          <w:sz w:val="24"/>
          <w:szCs w:val="24"/>
        </w:rPr>
        <w:t>Géographie</w:t>
      </w:r>
      <w:r>
        <w:rPr>
          <w:rFonts w:ascii="Times New Roman" w:hAnsi="Times New Roman"/>
          <w:i/>
          <w:iCs/>
          <w:sz w:val="24"/>
          <w:szCs w:val="24"/>
        </w:rPr>
        <w:t xml:space="preserve"> </w:t>
      </w:r>
      <w:r w:rsidRPr="007323A0">
        <w:rPr>
          <w:rFonts w:ascii="Times New Roman" w:hAnsi="Times New Roman"/>
          <w:sz w:val="24"/>
          <w:szCs w:val="24"/>
        </w:rPr>
        <w:t>(63</w:t>
      </w:r>
      <w:r>
        <w:rPr>
          <w:rFonts w:ascii="Times New Roman" w:hAnsi="Times New Roman"/>
          <w:i/>
          <w:iCs/>
          <w:sz w:val="24"/>
          <w:szCs w:val="24"/>
        </w:rPr>
        <w:t xml:space="preserve"> </w:t>
      </w:r>
      <w:r w:rsidRPr="005845B5">
        <w:rPr>
          <w:rFonts w:ascii="Times New Roman" w:hAnsi="Times New Roman"/>
          <w:sz w:val="24"/>
          <w:szCs w:val="24"/>
        </w:rPr>
        <w:t>av.  J.-C.</w:t>
      </w:r>
      <w:r>
        <w:rPr>
          <w:rFonts w:ascii="Times New Roman" w:hAnsi="Times New Roman"/>
          <w:sz w:val="24"/>
          <w:szCs w:val="24"/>
        </w:rPr>
        <w:t xml:space="preserve"> – 23 ap. </w:t>
      </w:r>
      <w:r w:rsidRPr="005845B5">
        <w:rPr>
          <w:rFonts w:ascii="Times New Roman" w:hAnsi="Times New Roman"/>
          <w:sz w:val="24"/>
          <w:szCs w:val="24"/>
        </w:rPr>
        <w:t>J.-C.)</w:t>
      </w:r>
      <w:r>
        <w:rPr>
          <w:rFonts w:ascii="Times New Roman" w:hAnsi="Times New Roman"/>
          <w:sz w:val="24"/>
          <w:szCs w:val="24"/>
        </w:rPr>
        <w:t>. Selon Ephore, la terre, divisée en quatre parties, comprenait, à l’est, les Indiens, au sud, les Ethiopiens, à l’ouest (ou région du Couchant), les Celtes, au nord, les Scythes.</w:t>
      </w:r>
    </w:p>
    <w:p w14:paraId="1EC02255" w14:textId="77777777" w:rsidR="00D23701" w:rsidRPr="007323A0" w:rsidRDefault="00D23701" w:rsidP="00987DE7">
      <w:pPr>
        <w:pStyle w:val="Sansinterligne"/>
        <w:jc w:val="both"/>
        <w:rPr>
          <w:rFonts w:ascii="Times New Roman" w:hAnsi="Times New Roman"/>
          <w:sz w:val="24"/>
          <w:szCs w:val="24"/>
        </w:rPr>
      </w:pPr>
    </w:p>
    <w:p w14:paraId="2DABE08A" w14:textId="5AA4457C" w:rsidR="00C5257D" w:rsidRPr="007323A0" w:rsidRDefault="00ED5AA3" w:rsidP="00987DE7">
      <w:pPr>
        <w:pStyle w:val="Sansinterligne"/>
        <w:jc w:val="both"/>
        <w:rPr>
          <w:rFonts w:ascii="Times New Roman" w:hAnsi="Times New Roman"/>
          <w:sz w:val="24"/>
          <w:szCs w:val="24"/>
        </w:rPr>
      </w:pPr>
      <w:r>
        <w:rPr>
          <w:rFonts w:ascii="Times New Roman" w:hAnsi="Times New Roman"/>
          <w:sz w:val="24"/>
          <w:szCs w:val="24"/>
        </w:rPr>
        <w:t>Le IVe siècle av. J.-C. est marqué par le début de la montée en puissance de la ville de Rome, qui conquiert l’Etrurie et les territoires occupés par diverses populations, dont les Celtes. Ceux-ci, précédemment en contact avec les Etrusques, ont laissé une trace marquante dans l’historiographie romaine : la prise de Rome</w:t>
      </w:r>
      <w:r w:rsidR="006C2511">
        <w:rPr>
          <w:rFonts w:ascii="Times New Roman" w:hAnsi="Times New Roman"/>
          <w:sz w:val="24"/>
          <w:szCs w:val="24"/>
        </w:rPr>
        <w:t xml:space="preserve">, </w:t>
      </w:r>
      <w:r>
        <w:rPr>
          <w:rFonts w:ascii="Times New Roman" w:hAnsi="Times New Roman"/>
          <w:sz w:val="24"/>
          <w:szCs w:val="24"/>
        </w:rPr>
        <w:t xml:space="preserve">v. 380 </w:t>
      </w:r>
      <w:r w:rsidRPr="005845B5">
        <w:rPr>
          <w:rFonts w:ascii="Times New Roman" w:hAnsi="Times New Roman"/>
          <w:sz w:val="24"/>
          <w:szCs w:val="24"/>
        </w:rPr>
        <w:t>av.  J.-C.</w:t>
      </w:r>
    </w:p>
    <w:p w14:paraId="305F6276" w14:textId="77777777" w:rsidR="00C5257D" w:rsidRPr="007323A0" w:rsidRDefault="00C5257D" w:rsidP="00987DE7">
      <w:pPr>
        <w:pStyle w:val="Sansinterligne"/>
        <w:jc w:val="both"/>
        <w:rPr>
          <w:rFonts w:ascii="Times New Roman" w:hAnsi="Times New Roman"/>
          <w:sz w:val="24"/>
          <w:szCs w:val="24"/>
        </w:rPr>
      </w:pPr>
    </w:p>
    <w:p w14:paraId="722BF753" w14:textId="1E99D0D7" w:rsidR="00987DE7" w:rsidRDefault="00070C78" w:rsidP="00987DE7">
      <w:pPr>
        <w:pStyle w:val="Sansinterligne"/>
        <w:jc w:val="both"/>
        <w:rPr>
          <w:rFonts w:ascii="Times New Roman" w:hAnsi="Times New Roman"/>
          <w:sz w:val="24"/>
          <w:szCs w:val="24"/>
        </w:rPr>
      </w:pPr>
      <w:r w:rsidRPr="00070C78">
        <w:rPr>
          <w:rFonts w:ascii="Times New Roman" w:hAnsi="Times New Roman"/>
          <w:sz w:val="24"/>
          <w:szCs w:val="24"/>
        </w:rPr>
        <w:t xml:space="preserve">A partir du IIIe siècle av. J.-C., les sources écrites en langue grecque sont relayées par les sources écrites en langue latine, le mot Κέλται </w:t>
      </w:r>
      <w:r w:rsidRPr="00070C78">
        <w:rPr>
          <w:rFonts w:ascii="Times New Roman" w:hAnsi="Times New Roman"/>
          <w:i/>
          <w:sz w:val="24"/>
          <w:szCs w:val="24"/>
        </w:rPr>
        <w:t>/ Keltoi</w:t>
      </w:r>
      <w:r w:rsidRPr="00070C78">
        <w:rPr>
          <w:rFonts w:ascii="Times New Roman" w:hAnsi="Times New Roman"/>
          <w:sz w:val="24"/>
          <w:szCs w:val="24"/>
        </w:rPr>
        <w:t xml:space="preserve"> </w:t>
      </w:r>
      <w:r w:rsidR="00C54244">
        <w:rPr>
          <w:rFonts w:ascii="Times New Roman" w:hAnsi="Times New Roman"/>
          <w:sz w:val="24"/>
          <w:szCs w:val="24"/>
        </w:rPr>
        <w:t>étant traduit par le mot</w:t>
      </w:r>
      <w:r w:rsidRPr="00070C78">
        <w:rPr>
          <w:rFonts w:ascii="Times New Roman" w:hAnsi="Times New Roman"/>
          <w:sz w:val="24"/>
          <w:szCs w:val="24"/>
        </w:rPr>
        <w:t xml:space="preserve"> </w:t>
      </w:r>
      <w:r w:rsidRPr="00070C78">
        <w:rPr>
          <w:rFonts w:ascii="Times New Roman" w:hAnsi="Times New Roman"/>
          <w:i/>
          <w:sz w:val="24"/>
          <w:szCs w:val="24"/>
        </w:rPr>
        <w:t>Celtae</w:t>
      </w:r>
      <w:r w:rsidRPr="00070C78">
        <w:rPr>
          <w:rFonts w:ascii="Times New Roman" w:hAnsi="Times New Roman"/>
          <w:sz w:val="24"/>
          <w:szCs w:val="24"/>
        </w:rPr>
        <w:t xml:space="preserve"> en latin</w:t>
      </w:r>
      <w:r w:rsidR="00C54244">
        <w:rPr>
          <w:rFonts w:ascii="Times New Roman" w:hAnsi="Times New Roman"/>
          <w:sz w:val="24"/>
          <w:szCs w:val="24"/>
        </w:rPr>
        <w:t xml:space="preserve"> (qui donnera « Celtes » en français)</w:t>
      </w:r>
      <w:r w:rsidRPr="00070C78">
        <w:rPr>
          <w:rFonts w:ascii="Times New Roman" w:hAnsi="Times New Roman"/>
          <w:sz w:val="24"/>
          <w:szCs w:val="24"/>
        </w:rPr>
        <w:t xml:space="preserve">. Mais </w:t>
      </w:r>
      <w:r w:rsidR="007323A0">
        <w:rPr>
          <w:rFonts w:ascii="Times New Roman" w:hAnsi="Times New Roman"/>
          <w:sz w:val="24"/>
          <w:szCs w:val="24"/>
        </w:rPr>
        <w:t xml:space="preserve">c’est aussi </w:t>
      </w:r>
      <w:r w:rsidRPr="00070C78">
        <w:rPr>
          <w:rFonts w:ascii="Times New Roman" w:hAnsi="Times New Roman"/>
          <w:sz w:val="24"/>
          <w:szCs w:val="24"/>
        </w:rPr>
        <w:t xml:space="preserve">à partir du IIIe siècle, </w:t>
      </w:r>
      <w:r w:rsidR="007323A0">
        <w:rPr>
          <w:rFonts w:ascii="Times New Roman" w:hAnsi="Times New Roman"/>
          <w:sz w:val="24"/>
          <w:szCs w:val="24"/>
        </w:rPr>
        <w:t xml:space="preserve">que </w:t>
      </w:r>
      <w:r w:rsidRPr="00070C78">
        <w:rPr>
          <w:rFonts w:ascii="Times New Roman" w:hAnsi="Times New Roman"/>
          <w:sz w:val="24"/>
          <w:szCs w:val="24"/>
        </w:rPr>
        <w:t>d’autres mots sont employés pour évoquer ceux qui</w:t>
      </w:r>
      <w:r w:rsidR="00633A2B">
        <w:rPr>
          <w:rFonts w:ascii="Times New Roman" w:hAnsi="Times New Roman"/>
          <w:sz w:val="24"/>
          <w:szCs w:val="24"/>
        </w:rPr>
        <w:t>,</w:t>
      </w:r>
      <w:r w:rsidRPr="00070C78">
        <w:rPr>
          <w:rFonts w:ascii="Times New Roman" w:hAnsi="Times New Roman"/>
          <w:sz w:val="24"/>
          <w:szCs w:val="24"/>
        </w:rPr>
        <w:t xml:space="preserve"> jusqu’alors</w:t>
      </w:r>
      <w:r w:rsidR="00633A2B">
        <w:rPr>
          <w:rFonts w:ascii="Times New Roman" w:hAnsi="Times New Roman"/>
          <w:sz w:val="24"/>
          <w:szCs w:val="24"/>
        </w:rPr>
        <w:t>,</w:t>
      </w:r>
      <w:r w:rsidRPr="00070C78">
        <w:rPr>
          <w:rFonts w:ascii="Times New Roman" w:hAnsi="Times New Roman"/>
          <w:sz w:val="24"/>
          <w:szCs w:val="24"/>
        </w:rPr>
        <w:t xml:space="preserve"> étaient qualifiés de Κέλται, tels que le mot </w:t>
      </w:r>
      <w:r w:rsidRPr="00070C78">
        <w:rPr>
          <w:rFonts w:ascii="Times New Roman" w:hAnsi="Times New Roman"/>
          <w:i/>
          <w:sz w:val="24"/>
          <w:szCs w:val="24"/>
          <w:shd w:val="clear" w:color="auto" w:fill="FFFFFF"/>
        </w:rPr>
        <w:t>Γαλαται</w:t>
      </w:r>
      <w:r w:rsidRPr="00070C78">
        <w:rPr>
          <w:rFonts w:ascii="Times New Roman" w:hAnsi="Times New Roman"/>
          <w:sz w:val="24"/>
          <w:szCs w:val="24"/>
        </w:rPr>
        <w:t>/Galate</w:t>
      </w:r>
      <w:r w:rsidR="00ED5AA3">
        <w:rPr>
          <w:rFonts w:ascii="Times New Roman" w:hAnsi="Times New Roman"/>
          <w:sz w:val="24"/>
          <w:szCs w:val="24"/>
        </w:rPr>
        <w:t>s</w:t>
      </w:r>
      <w:r w:rsidRPr="00070C78">
        <w:rPr>
          <w:rFonts w:ascii="Times New Roman" w:hAnsi="Times New Roman"/>
          <w:sz w:val="24"/>
          <w:szCs w:val="24"/>
        </w:rPr>
        <w:t xml:space="preserve"> ou encore le mot </w:t>
      </w:r>
      <w:r w:rsidRPr="00070C78">
        <w:rPr>
          <w:rFonts w:ascii="Times New Roman" w:hAnsi="Times New Roman"/>
          <w:i/>
          <w:sz w:val="24"/>
          <w:szCs w:val="24"/>
        </w:rPr>
        <w:t>Galli</w:t>
      </w:r>
      <w:r w:rsidRPr="00070C78">
        <w:rPr>
          <w:rFonts w:ascii="Times New Roman" w:hAnsi="Times New Roman"/>
          <w:sz w:val="24"/>
          <w:szCs w:val="24"/>
        </w:rPr>
        <w:t>/Gaulois, reflet des transformations politiques et culturelles du temps.</w:t>
      </w:r>
    </w:p>
    <w:p w14:paraId="225D74DE" w14:textId="765932E7" w:rsidR="00ED5AA3" w:rsidRDefault="00ED5AA3" w:rsidP="00987DE7">
      <w:pPr>
        <w:pStyle w:val="Sansinterligne"/>
        <w:jc w:val="both"/>
        <w:rPr>
          <w:rFonts w:ascii="Times New Roman" w:hAnsi="Times New Roman"/>
          <w:sz w:val="24"/>
          <w:szCs w:val="24"/>
        </w:rPr>
      </w:pPr>
    </w:p>
    <w:p w14:paraId="5702B8FC" w14:textId="4E783E8C" w:rsidR="00ED5AA3" w:rsidRDefault="00ED5AA3" w:rsidP="00987DE7">
      <w:pPr>
        <w:pStyle w:val="Sansinterligne"/>
        <w:jc w:val="both"/>
        <w:rPr>
          <w:rFonts w:ascii="Times New Roman" w:hAnsi="Times New Roman"/>
          <w:sz w:val="24"/>
          <w:szCs w:val="24"/>
        </w:rPr>
      </w:pPr>
      <w:r>
        <w:rPr>
          <w:rFonts w:ascii="Times New Roman" w:hAnsi="Times New Roman"/>
          <w:sz w:val="24"/>
          <w:szCs w:val="24"/>
        </w:rPr>
        <w:t xml:space="preserve">C’est ainsi que l’historien Polybe, dans ses </w:t>
      </w:r>
      <w:r w:rsidRPr="00ED5AA3">
        <w:rPr>
          <w:rFonts w:ascii="Times New Roman" w:hAnsi="Times New Roman"/>
          <w:i/>
          <w:iCs/>
          <w:sz w:val="24"/>
          <w:szCs w:val="24"/>
        </w:rPr>
        <w:t>Histoires</w:t>
      </w:r>
      <w:r>
        <w:rPr>
          <w:rFonts w:ascii="Times New Roman" w:hAnsi="Times New Roman"/>
          <w:sz w:val="24"/>
          <w:szCs w:val="24"/>
        </w:rPr>
        <w:t xml:space="preserve">, utilise le mot </w:t>
      </w:r>
      <w:r w:rsidRPr="00070C78">
        <w:rPr>
          <w:rFonts w:ascii="Times New Roman" w:hAnsi="Times New Roman"/>
          <w:i/>
          <w:sz w:val="24"/>
          <w:szCs w:val="24"/>
          <w:shd w:val="clear" w:color="auto" w:fill="FFFFFF"/>
        </w:rPr>
        <w:t>Γαλαται</w:t>
      </w:r>
      <w:r w:rsidRPr="00070C78">
        <w:rPr>
          <w:rFonts w:ascii="Times New Roman" w:hAnsi="Times New Roman"/>
          <w:sz w:val="24"/>
          <w:szCs w:val="24"/>
        </w:rPr>
        <w:t>/</w:t>
      </w:r>
      <w:r>
        <w:rPr>
          <w:rFonts w:ascii="Times New Roman" w:hAnsi="Times New Roman"/>
          <w:sz w:val="24"/>
          <w:szCs w:val="24"/>
        </w:rPr>
        <w:t xml:space="preserve">Galates pour qualifier les guerriers qui prennent Delphes (le plus grand sanctuaire grec au IIIe siècle av. J.-C.), v. 280/279 </w:t>
      </w:r>
      <w:r w:rsidRPr="005845B5">
        <w:rPr>
          <w:rFonts w:ascii="Times New Roman" w:hAnsi="Times New Roman"/>
          <w:sz w:val="24"/>
          <w:szCs w:val="24"/>
        </w:rPr>
        <w:t>av.  J.-C.</w:t>
      </w:r>
      <w:r>
        <w:rPr>
          <w:rFonts w:ascii="Times New Roman" w:hAnsi="Times New Roman"/>
          <w:sz w:val="24"/>
          <w:szCs w:val="24"/>
        </w:rPr>
        <w:t xml:space="preserve"> Une partie de l’armée conduite par Brennos, qui venait de la zone </w:t>
      </w:r>
      <w:r w:rsidR="0011548A">
        <w:rPr>
          <w:rFonts w:ascii="Times New Roman" w:hAnsi="Times New Roman"/>
          <w:sz w:val="24"/>
          <w:szCs w:val="24"/>
        </w:rPr>
        <w:t>qui</w:t>
      </w:r>
      <w:r w:rsidR="00FC5E45">
        <w:rPr>
          <w:rFonts w:ascii="Times New Roman" w:hAnsi="Times New Roman"/>
          <w:sz w:val="24"/>
          <w:szCs w:val="24"/>
        </w:rPr>
        <w:t>, aujourd’hui,</w:t>
      </w:r>
      <w:r>
        <w:rPr>
          <w:rFonts w:ascii="Times New Roman" w:hAnsi="Times New Roman"/>
          <w:sz w:val="24"/>
          <w:szCs w:val="24"/>
        </w:rPr>
        <w:t xml:space="preserve"> </w:t>
      </w:r>
      <w:r w:rsidR="0011548A">
        <w:rPr>
          <w:rFonts w:ascii="Times New Roman" w:hAnsi="Times New Roman"/>
          <w:sz w:val="24"/>
          <w:szCs w:val="24"/>
        </w:rPr>
        <w:t>englobe le</w:t>
      </w:r>
      <w:r>
        <w:rPr>
          <w:rFonts w:ascii="Times New Roman" w:hAnsi="Times New Roman"/>
          <w:sz w:val="24"/>
          <w:szCs w:val="24"/>
        </w:rPr>
        <w:t xml:space="preserve"> nord-est de la Serbie et </w:t>
      </w:r>
      <w:r w:rsidR="0011548A">
        <w:rPr>
          <w:rFonts w:ascii="Times New Roman" w:hAnsi="Times New Roman"/>
          <w:sz w:val="24"/>
          <w:szCs w:val="24"/>
        </w:rPr>
        <w:t>le</w:t>
      </w:r>
      <w:r>
        <w:rPr>
          <w:rFonts w:ascii="Times New Roman" w:hAnsi="Times New Roman"/>
          <w:sz w:val="24"/>
          <w:szCs w:val="24"/>
        </w:rPr>
        <w:t xml:space="preserve"> sud-ouest de la Hongrie, retournera sur ses pas</w:t>
      </w:r>
      <w:r w:rsidR="004614E6">
        <w:rPr>
          <w:rFonts w:ascii="Times New Roman" w:hAnsi="Times New Roman"/>
          <w:sz w:val="24"/>
          <w:szCs w:val="24"/>
        </w:rPr>
        <w:t xml:space="preserve">, tandis qu’une autre partie de l’armée de Brennos franchira l’Hellespont et, après avoir bataillé contre les rois hellènes de Pergame, s’implantera en </w:t>
      </w:r>
      <w:r w:rsidR="00C54244">
        <w:rPr>
          <w:rFonts w:ascii="Times New Roman" w:hAnsi="Times New Roman"/>
          <w:sz w:val="24"/>
          <w:szCs w:val="24"/>
        </w:rPr>
        <w:t xml:space="preserve">Asie </w:t>
      </w:r>
      <w:proofErr w:type="gramStart"/>
      <w:r w:rsidR="00C54244">
        <w:rPr>
          <w:rFonts w:ascii="Times New Roman" w:hAnsi="Times New Roman"/>
          <w:sz w:val="24"/>
          <w:szCs w:val="24"/>
        </w:rPr>
        <w:t>mineure</w:t>
      </w:r>
      <w:proofErr w:type="gramEnd"/>
      <w:r w:rsidR="004614E6">
        <w:rPr>
          <w:rFonts w:ascii="Times New Roman" w:hAnsi="Times New Roman"/>
          <w:sz w:val="24"/>
          <w:szCs w:val="24"/>
        </w:rPr>
        <w:t xml:space="preserve"> pour former la Galatie (dans la région de l’actuelle Ankara).</w:t>
      </w:r>
    </w:p>
    <w:p w14:paraId="642AF0DE" w14:textId="5E676916" w:rsidR="00E977F8" w:rsidRDefault="00E977F8" w:rsidP="00987DE7">
      <w:pPr>
        <w:pStyle w:val="Sansinterligne"/>
        <w:jc w:val="both"/>
        <w:rPr>
          <w:rFonts w:ascii="Times New Roman" w:hAnsi="Times New Roman"/>
          <w:sz w:val="24"/>
          <w:szCs w:val="24"/>
        </w:rPr>
      </w:pPr>
    </w:p>
    <w:p w14:paraId="4037552C" w14:textId="0E9D89FA" w:rsidR="00E977F8" w:rsidRPr="00070C78" w:rsidRDefault="00E977F8" w:rsidP="00987DE7">
      <w:pPr>
        <w:pStyle w:val="Sansinterligne"/>
        <w:jc w:val="both"/>
        <w:rPr>
          <w:rFonts w:ascii="Times New Roman" w:hAnsi="Times New Roman"/>
          <w:sz w:val="24"/>
          <w:szCs w:val="24"/>
        </w:rPr>
      </w:pPr>
      <w:r>
        <w:rPr>
          <w:rFonts w:ascii="Times New Roman" w:hAnsi="Times New Roman"/>
          <w:sz w:val="24"/>
          <w:szCs w:val="24"/>
        </w:rPr>
        <w:t xml:space="preserve">Dans la première moitié du Ier siècle av. J.-C., Jules César, à l’issue de la </w:t>
      </w:r>
      <w:r w:rsidRPr="005D1C6C">
        <w:rPr>
          <w:rFonts w:ascii="Times New Roman" w:hAnsi="Times New Roman"/>
          <w:i/>
          <w:iCs/>
          <w:sz w:val="24"/>
          <w:szCs w:val="24"/>
        </w:rPr>
        <w:t>Guerre des Gaules</w:t>
      </w:r>
      <w:r>
        <w:rPr>
          <w:rFonts w:ascii="Times New Roman" w:hAnsi="Times New Roman"/>
          <w:sz w:val="24"/>
          <w:szCs w:val="24"/>
        </w:rPr>
        <w:t>, décrit l’espace géographique de la Gaule, qui comprend trois parties distinctes : la Gaule Belgique (au nord de la Seine), la Gaule Celtique (entre la Seine et la Garonne) et l’Aquitaine (au sud de la Garonne).</w:t>
      </w:r>
    </w:p>
    <w:p w14:paraId="47222E4B" w14:textId="1A781B55" w:rsidR="00987DE7" w:rsidRDefault="00987DE7" w:rsidP="00987DE7"/>
    <w:p w14:paraId="1D560FC9" w14:textId="023C5520" w:rsidR="00C0710C" w:rsidRDefault="00C0710C" w:rsidP="00C0710C">
      <w:pPr>
        <w:jc w:val="both"/>
      </w:pPr>
      <w:r>
        <w:t>Si l</w:t>
      </w:r>
      <w:r w:rsidRPr="008043AF">
        <w:t xml:space="preserve">’étude des sources écrites antiques, qui relève traditionnellement de la philologie, </w:t>
      </w:r>
      <w:r w:rsidR="001F4536">
        <w:t>est</w:t>
      </w:r>
      <w:r w:rsidRPr="008043AF">
        <w:t xml:space="preserve"> complexe</w:t>
      </w:r>
      <w:r>
        <w:t>, l</w:t>
      </w:r>
      <w:r w:rsidRPr="008043AF">
        <w:t xml:space="preserve">a prise en compte de ces sources, </w:t>
      </w:r>
      <w:r w:rsidR="001F4536">
        <w:t>lorsque l’on étudie les Celtes de l’Antiquité</w:t>
      </w:r>
      <w:r w:rsidRPr="008043AF">
        <w:t>, reste incontournable étant donné que</w:t>
      </w:r>
      <w:r>
        <w:t>,</w:t>
      </w:r>
      <w:r w:rsidRPr="008043AF">
        <w:t xml:space="preserve"> sans les sources écrites antiques en langue grecque, puis en langue latine, le terme « celte », tout comme celui de « celtique », n’existerait pas</w:t>
      </w:r>
      <w:r w:rsidR="001F4536">
        <w:t>, pas plus que celui de « gaulois »</w:t>
      </w:r>
      <w:r w:rsidRPr="008043AF">
        <w:t>.</w:t>
      </w:r>
    </w:p>
    <w:p w14:paraId="17902A09" w14:textId="77777777" w:rsidR="00C0710C" w:rsidRDefault="00C0710C" w:rsidP="00C0710C">
      <w:pPr>
        <w:jc w:val="both"/>
      </w:pPr>
    </w:p>
    <w:p w14:paraId="0EE52105" w14:textId="77777777" w:rsidR="00C0710C" w:rsidRDefault="00C0710C" w:rsidP="00C0710C">
      <w:pPr>
        <w:jc w:val="both"/>
      </w:pPr>
    </w:p>
    <w:p w14:paraId="4A8FBB2E" w14:textId="2EBFF5C8" w:rsidR="00C0710C" w:rsidRPr="008043AF" w:rsidRDefault="00C0710C" w:rsidP="00C0710C">
      <w:pPr>
        <w:jc w:val="both"/>
      </w:pPr>
      <w:r>
        <w:t>On verra comment c</w:t>
      </w:r>
      <w:r w:rsidRPr="008043AF">
        <w:t xml:space="preserve">es informations, souvent </w:t>
      </w:r>
      <w:r w:rsidR="00463166">
        <w:t>lacun</w:t>
      </w:r>
      <w:r w:rsidRPr="008043AF">
        <w:t>aires, ont été</w:t>
      </w:r>
      <w:r>
        <w:t>,</w:t>
      </w:r>
      <w:r w:rsidRPr="008043AF">
        <w:t xml:space="preserve"> </w:t>
      </w:r>
      <w:r>
        <w:t>à partir de</w:t>
      </w:r>
      <w:r w:rsidRPr="008043AF">
        <w:t xml:space="preserve"> la Renaissance, combinées si ce n’est amalgamées avec d’autres domaines disciplinaires, tels que la linguistique, l’anthropologie, l’archéologie, </w:t>
      </w:r>
      <w:r w:rsidR="001F4536">
        <w:t xml:space="preserve">l’histoire de l’art, </w:t>
      </w:r>
      <w:r w:rsidRPr="008043AF">
        <w:t>associant en un tout ce qui, par essence, n’en forme pas un</w:t>
      </w:r>
      <w:r w:rsidRPr="008043AF">
        <w:rPr>
          <w:rStyle w:val="Appelnotedebasdep"/>
        </w:rPr>
        <w:footnoteReference w:id="4"/>
      </w:r>
      <w:r w:rsidRPr="008043AF">
        <w:t>.</w:t>
      </w:r>
    </w:p>
    <w:p w14:paraId="47E844E5" w14:textId="77777777" w:rsidR="00C0710C" w:rsidRDefault="00C0710C" w:rsidP="00987DE7"/>
    <w:p w14:paraId="68CEEFEB" w14:textId="77777777" w:rsidR="001E512C" w:rsidRPr="005F70B6" w:rsidRDefault="001E512C"/>
    <w:sectPr w:rsidR="001E512C" w:rsidRPr="005F70B6" w:rsidSect="00566F32">
      <w:headerReference w:type="even" r:id="rId7"/>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D02F4" w14:textId="77777777" w:rsidR="00677A8E" w:rsidRDefault="00677A8E" w:rsidP="00070C78">
      <w:r>
        <w:separator/>
      </w:r>
    </w:p>
  </w:endnote>
  <w:endnote w:type="continuationSeparator" w:id="0">
    <w:p w14:paraId="4AB326D5" w14:textId="77777777" w:rsidR="00677A8E" w:rsidRDefault="00677A8E" w:rsidP="00070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60C18" w14:textId="77777777" w:rsidR="00677A8E" w:rsidRDefault="00677A8E" w:rsidP="00070C78">
      <w:r>
        <w:separator/>
      </w:r>
    </w:p>
  </w:footnote>
  <w:footnote w:type="continuationSeparator" w:id="0">
    <w:p w14:paraId="56FB689D" w14:textId="77777777" w:rsidR="00677A8E" w:rsidRDefault="00677A8E" w:rsidP="00070C78">
      <w:r>
        <w:continuationSeparator/>
      </w:r>
    </w:p>
  </w:footnote>
  <w:footnote w:id="1">
    <w:p w14:paraId="6AA08F4C" w14:textId="1186B9A9" w:rsidR="00070C78" w:rsidRPr="00CC3576" w:rsidRDefault="00070C78" w:rsidP="00070C78">
      <w:pPr>
        <w:pStyle w:val="Sansinterligne"/>
        <w:jc w:val="both"/>
        <w:rPr>
          <w:rFonts w:ascii="Times New Roman" w:hAnsi="Times New Roman"/>
          <w:sz w:val="20"/>
          <w:szCs w:val="20"/>
        </w:rPr>
      </w:pPr>
      <w:r w:rsidRPr="00CC3576">
        <w:rPr>
          <w:rStyle w:val="Appelnotedebasdep"/>
          <w:rFonts w:ascii="Times New Roman" w:hAnsi="Times New Roman"/>
          <w:sz w:val="20"/>
          <w:szCs w:val="20"/>
        </w:rPr>
        <w:footnoteRef/>
      </w:r>
      <w:r w:rsidRPr="00CC3576">
        <w:rPr>
          <w:rFonts w:ascii="Times New Roman" w:hAnsi="Times New Roman"/>
          <w:sz w:val="20"/>
          <w:szCs w:val="20"/>
        </w:rPr>
        <w:t xml:space="preserve"> Voir, entre autres, les travaux relatifs au mercenariat, par exemple, Baray L. </w:t>
      </w:r>
      <w:r w:rsidRPr="00CC3576">
        <w:rPr>
          <w:rFonts w:ascii="Times New Roman" w:hAnsi="Times New Roman"/>
          <w:i/>
          <w:sz w:val="20"/>
          <w:szCs w:val="20"/>
        </w:rPr>
        <w:t>Celtes, Galates et Gaulois, mercenaires de l’Antiquité : représentation, recrutement, organisation</w:t>
      </w:r>
      <w:r w:rsidRPr="00CC3576">
        <w:rPr>
          <w:rFonts w:ascii="Times New Roman" w:hAnsi="Times New Roman"/>
          <w:sz w:val="20"/>
          <w:szCs w:val="20"/>
        </w:rPr>
        <w:t xml:space="preserve">, éd. Picard, Paris, 2017 ; Baray L., </w:t>
      </w:r>
      <w:r w:rsidRPr="00CC3576">
        <w:rPr>
          <w:rFonts w:ascii="Times New Roman" w:hAnsi="Times New Roman"/>
          <w:i/>
          <w:sz w:val="20"/>
          <w:szCs w:val="20"/>
        </w:rPr>
        <w:t>Sociétés celtiques et mercenaires : VIIe-Ier siècle av. J.-C. La terre, le pouvoir et les hommes</w:t>
      </w:r>
      <w:r w:rsidRPr="00CC3576">
        <w:rPr>
          <w:rFonts w:ascii="Times New Roman" w:hAnsi="Times New Roman"/>
          <w:sz w:val="20"/>
          <w:szCs w:val="20"/>
        </w:rPr>
        <w:t>, CNRS éd., Paris, 2016.</w:t>
      </w:r>
    </w:p>
  </w:footnote>
  <w:footnote w:id="2">
    <w:p w14:paraId="2CA640C9" w14:textId="77777777" w:rsidR="00070C78" w:rsidRPr="00CC3576" w:rsidRDefault="00070C78" w:rsidP="00070C78">
      <w:pPr>
        <w:pStyle w:val="Notedebasdepage"/>
        <w:jc w:val="both"/>
        <w:rPr>
          <w:lang w:val="en-US"/>
        </w:rPr>
      </w:pPr>
      <w:r w:rsidRPr="00CC3576">
        <w:rPr>
          <w:rStyle w:val="Appelnotedebasdep"/>
        </w:rPr>
        <w:footnoteRef/>
      </w:r>
      <w:r w:rsidRPr="00F401AC">
        <w:rPr>
          <w:lang w:val="en-US"/>
        </w:rPr>
        <w:t xml:space="preserve"> En dernier lieu, Hofeneder A., Die Religion der Kelten in den antiken literarischen Zeugnissen. </w:t>
      </w:r>
      <w:r w:rsidRPr="00CC3576">
        <w:rPr>
          <w:lang w:val="en-US"/>
        </w:rPr>
        <w:t xml:space="preserve">Sammlung, Übersetzung und Kommentierung, vol. I. Von den Anfängen bis Caesar, </w:t>
      </w:r>
      <w:r w:rsidRPr="00CC3576">
        <w:rPr>
          <w:i/>
          <w:lang w:val="en-US"/>
        </w:rPr>
        <w:t>Mitteilungen der prähistorischen Kommission</w:t>
      </w:r>
      <w:r w:rsidRPr="00CC3576">
        <w:rPr>
          <w:lang w:val="en-US"/>
        </w:rPr>
        <w:t xml:space="preserve"> 59, Wien, </w:t>
      </w:r>
      <w:proofErr w:type="gramStart"/>
      <w:r w:rsidRPr="00CC3576">
        <w:rPr>
          <w:lang w:val="en-US"/>
        </w:rPr>
        <w:t>2005 ;</w:t>
      </w:r>
      <w:proofErr w:type="gramEnd"/>
      <w:r w:rsidRPr="00CC3576">
        <w:rPr>
          <w:lang w:val="en-US"/>
        </w:rPr>
        <w:t xml:space="preserve">  Hofeneder A., Die Religion der Kelten in den antiken literarischen Zeugnissen. Sammlung, Übersetzung und Kommentierung, vol. II. Von Cicero bis Florus, </w:t>
      </w:r>
      <w:r w:rsidRPr="00CC3576">
        <w:rPr>
          <w:i/>
          <w:lang w:val="en-US"/>
        </w:rPr>
        <w:t>Mitteilungen der prähistorischen Kommission</w:t>
      </w:r>
      <w:r w:rsidRPr="00CC3576">
        <w:rPr>
          <w:lang w:val="en-US"/>
        </w:rPr>
        <w:t xml:space="preserve"> 66, Wien, 2008 ; Hofeneder A., Die Religion der Kelten in den antiken literarischen Zeugnissen. Sammlung, Übersetzung und Kommentierung, vol. III. Von Arrianos bis zum Ausklang der Antike, </w:t>
      </w:r>
      <w:r w:rsidRPr="00CC3576">
        <w:rPr>
          <w:i/>
          <w:lang w:val="en-US"/>
        </w:rPr>
        <w:t>Mitteilungen der prähistorischen Kommission</w:t>
      </w:r>
      <w:r w:rsidRPr="00CC3576">
        <w:rPr>
          <w:lang w:val="en-US"/>
        </w:rPr>
        <w:t>75, Wien, 2011.</w:t>
      </w:r>
    </w:p>
  </w:footnote>
  <w:footnote w:id="3">
    <w:p w14:paraId="01102CB9" w14:textId="72416488" w:rsidR="00070C78" w:rsidRPr="00CC3576" w:rsidRDefault="00070C78" w:rsidP="00070C78">
      <w:pPr>
        <w:pStyle w:val="Notedebasdepage"/>
        <w:jc w:val="both"/>
        <w:rPr>
          <w:lang w:val="en-US"/>
        </w:rPr>
      </w:pPr>
      <w:r w:rsidRPr="00CC3576">
        <w:rPr>
          <w:rStyle w:val="Appelnotedebasdep"/>
        </w:rPr>
        <w:footnoteRef/>
      </w:r>
      <w:r w:rsidRPr="00CC3576">
        <w:rPr>
          <w:lang w:val="en-US"/>
        </w:rPr>
        <w:t xml:space="preserve"> Voir, par exemple, Tierney J.J., « The Celtic ethnography of Poseidonius », </w:t>
      </w:r>
      <w:r w:rsidRPr="00CC3576">
        <w:rPr>
          <w:i/>
          <w:lang w:val="en-US"/>
        </w:rPr>
        <w:t>Proceedings of the Royal Irish Academy</w:t>
      </w:r>
      <w:r w:rsidRPr="00CC3576">
        <w:rPr>
          <w:lang w:val="en-US"/>
        </w:rPr>
        <w:t xml:space="preserve"> 60, 1960, 189-246</w:t>
      </w:r>
      <w:r>
        <w:rPr>
          <w:lang w:val="en-US"/>
        </w:rPr>
        <w:t xml:space="preserve">; Nash D., </w:t>
      </w:r>
      <w:r w:rsidRPr="00CC3576">
        <w:rPr>
          <w:lang w:val="en-US"/>
        </w:rPr>
        <w:t>« </w:t>
      </w:r>
      <w:r>
        <w:rPr>
          <w:lang w:val="en-US"/>
        </w:rPr>
        <w:t>Reconstructing Poseidonios’ Celtic Ethnography: Some Considerations</w:t>
      </w:r>
      <w:r w:rsidRPr="00CC3576">
        <w:rPr>
          <w:lang w:val="en-US"/>
        </w:rPr>
        <w:t> »,</w:t>
      </w:r>
      <w:r>
        <w:rPr>
          <w:lang w:val="en-US"/>
        </w:rPr>
        <w:t xml:space="preserve"> </w:t>
      </w:r>
      <w:r w:rsidRPr="00070C78">
        <w:rPr>
          <w:i/>
          <w:iCs/>
          <w:lang w:val="en-US"/>
        </w:rPr>
        <w:t>Britannia</w:t>
      </w:r>
      <w:r>
        <w:rPr>
          <w:lang w:val="en-US"/>
        </w:rPr>
        <w:t xml:space="preserve"> 7, 1976, 111-126.</w:t>
      </w:r>
    </w:p>
  </w:footnote>
  <w:footnote w:id="4">
    <w:p w14:paraId="070CBF3D" w14:textId="77777777" w:rsidR="00C0710C" w:rsidRPr="00CC3576" w:rsidRDefault="00C0710C" w:rsidP="00C0710C">
      <w:pPr>
        <w:pStyle w:val="Notedebasdepage"/>
        <w:jc w:val="both"/>
      </w:pPr>
      <w:r w:rsidRPr="00CC3576">
        <w:rPr>
          <w:rStyle w:val="Appelnotedebasdep"/>
        </w:rPr>
        <w:footnoteRef/>
      </w:r>
      <w:r w:rsidRPr="00CC3576">
        <w:rPr>
          <w:lang w:val="en-US"/>
        </w:rPr>
        <w:t xml:space="preserve"> Chapman M., </w:t>
      </w:r>
      <w:r w:rsidRPr="00CC3576">
        <w:rPr>
          <w:i/>
          <w:lang w:val="en-US"/>
        </w:rPr>
        <w:t xml:space="preserve">The Celts. </w:t>
      </w:r>
      <w:r w:rsidRPr="00CC3576">
        <w:rPr>
          <w:i/>
          <w:lang w:val="en-US"/>
        </w:rPr>
        <w:t>The Construction of a Myth</w:t>
      </w:r>
      <w:r w:rsidRPr="00CC3576">
        <w:rPr>
          <w:lang w:val="en-US"/>
        </w:rPr>
        <w:t xml:space="preserve">, St Martin’s Press, New York / The Macmillan Press Ltd, Basingstoke, 1992 ; Collis J., </w:t>
      </w:r>
      <w:r w:rsidRPr="00CC3576">
        <w:rPr>
          <w:i/>
          <w:lang w:val="en-US"/>
        </w:rPr>
        <w:t xml:space="preserve">The Celts. </w:t>
      </w:r>
      <w:r w:rsidRPr="00CC3576">
        <w:rPr>
          <w:i/>
        </w:rPr>
        <w:t>Origins, Myths, Inventions</w:t>
      </w:r>
      <w:r w:rsidRPr="00CC3576">
        <w:t>, Tempus Publishing, 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2130385496"/>
      <w:docPartObj>
        <w:docPartGallery w:val="Page Numbers (Top of Page)"/>
        <w:docPartUnique/>
      </w:docPartObj>
    </w:sdtPr>
    <w:sdtContent>
      <w:p w14:paraId="4C658EE4" w14:textId="6073409D" w:rsidR="0085056D" w:rsidRDefault="0085056D" w:rsidP="00AE6151">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B0A121B" w14:textId="77777777" w:rsidR="0085056D" w:rsidRDefault="0085056D" w:rsidP="0085056D">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833061936"/>
      <w:docPartObj>
        <w:docPartGallery w:val="Page Numbers (Top of Page)"/>
        <w:docPartUnique/>
      </w:docPartObj>
    </w:sdtPr>
    <w:sdtContent>
      <w:p w14:paraId="2683CB91" w14:textId="64694211" w:rsidR="0085056D" w:rsidRDefault="0085056D" w:rsidP="00AE6151">
        <w:pPr>
          <w:pStyle w:val="En-tt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9157058" w14:textId="77777777" w:rsidR="0085056D" w:rsidRDefault="0085056D" w:rsidP="0085056D">
    <w:pPr>
      <w:pStyle w:val="En-tt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7F7EAE"/>
    <w:multiLevelType w:val="hybridMultilevel"/>
    <w:tmpl w:val="91FCF572"/>
    <w:lvl w:ilvl="0" w:tplc="8E10A75A">
      <w:start w:val="900"/>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7277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DE7"/>
    <w:rsid w:val="00030825"/>
    <w:rsid w:val="00070C78"/>
    <w:rsid w:val="000F719F"/>
    <w:rsid w:val="0011548A"/>
    <w:rsid w:val="001645AD"/>
    <w:rsid w:val="001645EA"/>
    <w:rsid w:val="0017466A"/>
    <w:rsid w:val="001C3D0F"/>
    <w:rsid w:val="001E512C"/>
    <w:rsid w:val="001F4536"/>
    <w:rsid w:val="002002AE"/>
    <w:rsid w:val="00222415"/>
    <w:rsid w:val="00304A5B"/>
    <w:rsid w:val="00345D00"/>
    <w:rsid w:val="0039768C"/>
    <w:rsid w:val="003E01A3"/>
    <w:rsid w:val="004249DF"/>
    <w:rsid w:val="004614E6"/>
    <w:rsid w:val="00463166"/>
    <w:rsid w:val="004827CE"/>
    <w:rsid w:val="004A0A1A"/>
    <w:rsid w:val="004F2997"/>
    <w:rsid w:val="00566F32"/>
    <w:rsid w:val="00570154"/>
    <w:rsid w:val="005845B5"/>
    <w:rsid w:val="005D1C6C"/>
    <w:rsid w:val="005F70B6"/>
    <w:rsid w:val="00625B72"/>
    <w:rsid w:val="00633A2B"/>
    <w:rsid w:val="00677A8E"/>
    <w:rsid w:val="00691A4C"/>
    <w:rsid w:val="006A6327"/>
    <w:rsid w:val="006C2511"/>
    <w:rsid w:val="006C5EFD"/>
    <w:rsid w:val="007155B7"/>
    <w:rsid w:val="007323A0"/>
    <w:rsid w:val="008174B4"/>
    <w:rsid w:val="0085056D"/>
    <w:rsid w:val="00880405"/>
    <w:rsid w:val="00904724"/>
    <w:rsid w:val="00914DD4"/>
    <w:rsid w:val="00967E5C"/>
    <w:rsid w:val="00987DE7"/>
    <w:rsid w:val="00992E8A"/>
    <w:rsid w:val="009E495D"/>
    <w:rsid w:val="00A42AB4"/>
    <w:rsid w:val="00AF1229"/>
    <w:rsid w:val="00B52C14"/>
    <w:rsid w:val="00B563D1"/>
    <w:rsid w:val="00BA76A4"/>
    <w:rsid w:val="00C03202"/>
    <w:rsid w:val="00C0710C"/>
    <w:rsid w:val="00C22495"/>
    <w:rsid w:val="00C5257D"/>
    <w:rsid w:val="00C54244"/>
    <w:rsid w:val="00CD2A2E"/>
    <w:rsid w:val="00D23701"/>
    <w:rsid w:val="00D32F74"/>
    <w:rsid w:val="00D73BCD"/>
    <w:rsid w:val="00E4132B"/>
    <w:rsid w:val="00E8288F"/>
    <w:rsid w:val="00E977F8"/>
    <w:rsid w:val="00ED5AA3"/>
    <w:rsid w:val="00EF1F7F"/>
    <w:rsid w:val="00F401AC"/>
    <w:rsid w:val="00F4658E"/>
    <w:rsid w:val="00F576C4"/>
    <w:rsid w:val="00F94B70"/>
    <w:rsid w:val="00FC5E45"/>
    <w:rsid w:val="00FF1B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5F138C0"/>
  <w15:chartTrackingRefBased/>
  <w15:docId w15:val="{2C5B34A4-7D3A-2F47-93B2-39A20F8D7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E7"/>
    <w:rPr>
      <w:rFonts w:ascii="Times New Roman" w:eastAsia="Times New Roman" w:hAnsi="Times New Roman"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987DE7"/>
    <w:rPr>
      <w:rFonts w:ascii="Calibri" w:eastAsia="Calibri" w:hAnsi="Calibri" w:cs="Times New Roman"/>
      <w:sz w:val="22"/>
      <w:szCs w:val="22"/>
    </w:rPr>
  </w:style>
  <w:style w:type="character" w:styleId="Lienhypertexte">
    <w:name w:val="Hyperlink"/>
    <w:basedOn w:val="Policepardfaut"/>
    <w:uiPriority w:val="99"/>
    <w:unhideWhenUsed/>
    <w:rsid w:val="005F70B6"/>
    <w:rPr>
      <w:color w:val="0563C1" w:themeColor="hyperlink"/>
      <w:u w:val="single"/>
    </w:rPr>
  </w:style>
  <w:style w:type="character" w:styleId="Mentionnonrsolue">
    <w:name w:val="Unresolved Mention"/>
    <w:basedOn w:val="Policepardfaut"/>
    <w:uiPriority w:val="99"/>
    <w:semiHidden/>
    <w:unhideWhenUsed/>
    <w:rsid w:val="005F70B6"/>
    <w:rPr>
      <w:color w:val="605E5C"/>
      <w:shd w:val="clear" w:color="auto" w:fill="E1DFDD"/>
    </w:rPr>
  </w:style>
  <w:style w:type="paragraph" w:styleId="Notedebasdepage">
    <w:name w:val="footnote text"/>
    <w:basedOn w:val="Normal"/>
    <w:link w:val="NotedebasdepageCar"/>
    <w:uiPriority w:val="99"/>
    <w:unhideWhenUsed/>
    <w:rsid w:val="00070C78"/>
    <w:rPr>
      <w:sz w:val="20"/>
      <w:szCs w:val="20"/>
    </w:rPr>
  </w:style>
  <w:style w:type="character" w:customStyle="1" w:styleId="NotedebasdepageCar">
    <w:name w:val="Note de bas de page Car"/>
    <w:basedOn w:val="Policepardfaut"/>
    <w:link w:val="Notedebasdepage"/>
    <w:uiPriority w:val="99"/>
    <w:rsid w:val="00070C78"/>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070C78"/>
    <w:rPr>
      <w:vertAlign w:val="superscript"/>
    </w:rPr>
  </w:style>
  <w:style w:type="paragraph" w:styleId="En-tte">
    <w:name w:val="header"/>
    <w:basedOn w:val="Normal"/>
    <w:link w:val="En-tteCar"/>
    <w:uiPriority w:val="99"/>
    <w:unhideWhenUsed/>
    <w:rsid w:val="0085056D"/>
    <w:pPr>
      <w:tabs>
        <w:tab w:val="center" w:pos="4536"/>
        <w:tab w:val="right" w:pos="9072"/>
      </w:tabs>
    </w:pPr>
  </w:style>
  <w:style w:type="character" w:customStyle="1" w:styleId="En-tteCar">
    <w:name w:val="En-tête Car"/>
    <w:basedOn w:val="Policepardfaut"/>
    <w:link w:val="En-tte"/>
    <w:uiPriority w:val="99"/>
    <w:rsid w:val="0085056D"/>
    <w:rPr>
      <w:rFonts w:ascii="Times New Roman" w:eastAsia="Times New Roman" w:hAnsi="Times New Roman" w:cs="Times New Roman"/>
      <w:lang w:eastAsia="fr-FR"/>
    </w:rPr>
  </w:style>
  <w:style w:type="character" w:styleId="Numrodepage">
    <w:name w:val="page number"/>
    <w:basedOn w:val="Policepardfaut"/>
    <w:uiPriority w:val="99"/>
    <w:semiHidden/>
    <w:unhideWhenUsed/>
    <w:rsid w:val="0085056D"/>
  </w:style>
  <w:style w:type="character" w:customStyle="1" w:styleId="Aucun">
    <w:name w:val="Aucun"/>
    <w:rsid w:val="004249DF"/>
  </w:style>
  <w:style w:type="character" w:styleId="Marquedecommentaire">
    <w:name w:val="annotation reference"/>
    <w:basedOn w:val="Policepardfaut"/>
    <w:uiPriority w:val="99"/>
    <w:semiHidden/>
    <w:unhideWhenUsed/>
    <w:rsid w:val="00E4132B"/>
    <w:rPr>
      <w:sz w:val="16"/>
      <w:szCs w:val="16"/>
    </w:rPr>
  </w:style>
  <w:style w:type="paragraph" w:styleId="Commentaire">
    <w:name w:val="annotation text"/>
    <w:basedOn w:val="Normal"/>
    <w:link w:val="CommentaireCar"/>
    <w:uiPriority w:val="99"/>
    <w:semiHidden/>
    <w:unhideWhenUsed/>
    <w:rsid w:val="00E4132B"/>
    <w:rPr>
      <w:sz w:val="20"/>
      <w:szCs w:val="20"/>
    </w:rPr>
  </w:style>
  <w:style w:type="character" w:customStyle="1" w:styleId="CommentaireCar">
    <w:name w:val="Commentaire Car"/>
    <w:basedOn w:val="Policepardfaut"/>
    <w:link w:val="Commentaire"/>
    <w:uiPriority w:val="99"/>
    <w:semiHidden/>
    <w:rsid w:val="00E4132B"/>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E4132B"/>
    <w:rPr>
      <w:b/>
      <w:bCs/>
    </w:rPr>
  </w:style>
  <w:style w:type="character" w:customStyle="1" w:styleId="ObjetducommentaireCar">
    <w:name w:val="Objet du commentaire Car"/>
    <w:basedOn w:val="CommentaireCar"/>
    <w:link w:val="Objetducommentaire"/>
    <w:uiPriority w:val="99"/>
    <w:semiHidden/>
    <w:rsid w:val="00E4132B"/>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1133</Words>
  <Characters>6618</Characters>
  <Application>Microsoft Office Word</Application>
  <DocSecurity>0</DocSecurity>
  <Lines>98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Virginie Defente</cp:lastModifiedBy>
  <cp:revision>35</cp:revision>
  <cp:lastPrinted>2026-01-16T08:10:00Z</cp:lastPrinted>
  <dcterms:created xsi:type="dcterms:W3CDTF">2021-01-25T09:11:00Z</dcterms:created>
  <dcterms:modified xsi:type="dcterms:W3CDTF">2026-01-19T11:17:00Z</dcterms:modified>
</cp:coreProperties>
</file>