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5CF0" w14:textId="5DAE2F72" w:rsidR="00A35917" w:rsidRPr="00BB1093" w:rsidRDefault="00A35917" w:rsidP="00A35917">
      <w:pPr>
        <w:pStyle w:val="Sansinterligne"/>
        <w:jc w:val="center"/>
        <w:rPr>
          <w:rFonts w:ascii="Times New Roman" w:hAnsi="Times New Roman"/>
        </w:rPr>
      </w:pPr>
      <w:r w:rsidRPr="00BB1093">
        <w:rPr>
          <w:rFonts w:ascii="Times New Roman" w:hAnsi="Times New Roman"/>
        </w:rPr>
        <w:t>Université Rennes 2 / 202</w:t>
      </w:r>
      <w:r w:rsidR="00C65651">
        <w:rPr>
          <w:rFonts w:ascii="Times New Roman" w:hAnsi="Times New Roman"/>
        </w:rPr>
        <w:t>5</w:t>
      </w:r>
      <w:r w:rsidRPr="00BB1093">
        <w:rPr>
          <w:rFonts w:ascii="Times New Roman" w:hAnsi="Times New Roman"/>
        </w:rPr>
        <w:t>-202</w:t>
      </w:r>
      <w:r w:rsidR="00C65651">
        <w:rPr>
          <w:rFonts w:ascii="Times New Roman" w:hAnsi="Times New Roman"/>
        </w:rPr>
        <w:t>6</w:t>
      </w:r>
    </w:p>
    <w:p w14:paraId="5C1450E2" w14:textId="77777777" w:rsidR="00A35917" w:rsidRPr="00BB1093" w:rsidRDefault="00A35917" w:rsidP="00A35917">
      <w:pPr>
        <w:pStyle w:val="Sansinterligne"/>
        <w:jc w:val="center"/>
        <w:rPr>
          <w:rFonts w:ascii="Times New Roman" w:hAnsi="Times New Roman"/>
          <w:bCs/>
        </w:rPr>
      </w:pPr>
      <w:r w:rsidRPr="00BB1093">
        <w:rPr>
          <w:rFonts w:ascii="Times New Roman" w:hAnsi="Times New Roman"/>
          <w:bCs/>
        </w:rPr>
        <w:t>Licence 2 - Semestre 4</w:t>
      </w:r>
    </w:p>
    <w:p w14:paraId="126FC4F2" w14:textId="77777777" w:rsidR="00A35917" w:rsidRPr="00BB1093" w:rsidRDefault="00A35917" w:rsidP="00A35917">
      <w:pPr>
        <w:pStyle w:val="Sansinterligne"/>
        <w:jc w:val="center"/>
        <w:rPr>
          <w:rFonts w:ascii="Times New Roman" w:hAnsi="Times New Roman"/>
          <w:b/>
        </w:rPr>
      </w:pPr>
      <w:r w:rsidRPr="00BB1093">
        <w:rPr>
          <w:rFonts w:ascii="Times New Roman" w:hAnsi="Times New Roman"/>
          <w:b/>
        </w:rPr>
        <w:t>UEO CELTES – Origine et connaissance des mondes celtiques</w:t>
      </w:r>
      <w:r w:rsidRPr="00BB1093">
        <w:rPr>
          <w:rFonts w:ascii="Times New Roman" w:hAnsi="Times New Roman"/>
        </w:rPr>
        <w:t xml:space="preserve"> </w:t>
      </w:r>
      <w:r w:rsidRPr="00BB1093">
        <w:rPr>
          <w:rFonts w:ascii="Times New Roman" w:hAnsi="Times New Roman"/>
          <w:b/>
        </w:rPr>
        <w:t>- code 01FTH41</w:t>
      </w:r>
    </w:p>
    <w:p w14:paraId="64E33F65" w14:textId="77777777" w:rsidR="00A35917" w:rsidRPr="00BB1093" w:rsidRDefault="00A35917" w:rsidP="00A35917">
      <w:pPr>
        <w:pStyle w:val="Sansinterligne"/>
        <w:jc w:val="center"/>
        <w:rPr>
          <w:rFonts w:ascii="Times New Roman" w:hAnsi="Times New Roman"/>
          <w:bCs/>
          <w:lang w:val="en-US"/>
        </w:rPr>
      </w:pPr>
      <w:r w:rsidRPr="00BB1093">
        <w:rPr>
          <w:rFonts w:ascii="Times New Roman" w:hAnsi="Times New Roman"/>
          <w:bCs/>
          <w:lang w:val="en-US"/>
        </w:rPr>
        <w:t xml:space="preserve">(CM. V. </w:t>
      </w:r>
      <w:proofErr w:type="spellStart"/>
      <w:r w:rsidRPr="00BB1093">
        <w:rPr>
          <w:rFonts w:ascii="Times New Roman" w:hAnsi="Times New Roman"/>
          <w:bCs/>
          <w:lang w:val="en-US"/>
        </w:rPr>
        <w:t>Defente</w:t>
      </w:r>
      <w:proofErr w:type="spellEnd"/>
      <w:r w:rsidRPr="00BB1093">
        <w:rPr>
          <w:rFonts w:ascii="Times New Roman" w:hAnsi="Times New Roman"/>
          <w:bCs/>
          <w:lang w:val="en-US"/>
        </w:rPr>
        <w:t>)</w:t>
      </w:r>
    </w:p>
    <w:p w14:paraId="7D03EA77" w14:textId="77777777" w:rsidR="00A35917" w:rsidRPr="00BB1093" w:rsidRDefault="00A35917" w:rsidP="00A35917">
      <w:pPr>
        <w:pStyle w:val="Sansinterligne"/>
        <w:rPr>
          <w:rFonts w:ascii="Times New Roman" w:hAnsi="Times New Roman"/>
          <w:bCs/>
          <w:lang w:val="en-US"/>
        </w:rPr>
      </w:pPr>
    </w:p>
    <w:p w14:paraId="1A46E333" w14:textId="77777777" w:rsidR="00A35917" w:rsidRPr="00BB1093" w:rsidRDefault="00A35917" w:rsidP="00A35917">
      <w:pPr>
        <w:jc w:val="both"/>
        <w:rPr>
          <w:b/>
          <w:bCs/>
          <w:sz w:val="22"/>
          <w:szCs w:val="22"/>
          <w:lang w:val="en-US"/>
        </w:rPr>
      </w:pPr>
    </w:p>
    <w:p w14:paraId="2C86DAB2" w14:textId="0B605766" w:rsidR="00A35917" w:rsidRPr="00C65651" w:rsidRDefault="00A35917" w:rsidP="00A35917">
      <w:pPr>
        <w:jc w:val="both"/>
        <w:rPr>
          <w:sz w:val="22"/>
          <w:szCs w:val="22"/>
        </w:rPr>
      </w:pPr>
      <w:proofErr w:type="spellStart"/>
      <w:r w:rsidRPr="00C65651">
        <w:rPr>
          <w:b/>
          <w:bCs/>
          <w:sz w:val="22"/>
          <w:szCs w:val="22"/>
        </w:rPr>
        <w:t>CM</w:t>
      </w:r>
      <w:r w:rsidR="00C65651" w:rsidRPr="00C65651">
        <w:rPr>
          <w:b/>
          <w:bCs/>
          <w:sz w:val="22"/>
          <w:szCs w:val="22"/>
        </w:rPr>
        <w:t>5</w:t>
      </w:r>
      <w:proofErr w:type="spellEnd"/>
      <w:r w:rsidRPr="00C65651">
        <w:rPr>
          <w:sz w:val="22"/>
          <w:szCs w:val="22"/>
        </w:rPr>
        <w:t xml:space="preserve"> – </w:t>
      </w:r>
      <w:r w:rsidRPr="00C65651">
        <w:rPr>
          <w:i/>
          <w:iCs/>
          <w:sz w:val="22"/>
          <w:szCs w:val="22"/>
        </w:rPr>
        <w:t xml:space="preserve">Celtic </w:t>
      </w:r>
      <w:proofErr w:type="spellStart"/>
      <w:r w:rsidRPr="00C65651">
        <w:rPr>
          <w:i/>
          <w:iCs/>
          <w:sz w:val="22"/>
          <w:szCs w:val="22"/>
        </w:rPr>
        <w:t>from</w:t>
      </w:r>
      <w:proofErr w:type="spellEnd"/>
      <w:r w:rsidRPr="00C65651">
        <w:rPr>
          <w:i/>
          <w:iCs/>
          <w:sz w:val="22"/>
          <w:szCs w:val="22"/>
        </w:rPr>
        <w:t xml:space="preserve"> the West</w:t>
      </w:r>
      <w:r w:rsidRPr="00C65651">
        <w:rPr>
          <w:sz w:val="22"/>
          <w:szCs w:val="22"/>
        </w:rPr>
        <w:t xml:space="preserve"> / Les Celtes et le grand public – vendredi </w:t>
      </w:r>
      <w:r w:rsidR="00C65651">
        <w:rPr>
          <w:sz w:val="22"/>
          <w:szCs w:val="22"/>
        </w:rPr>
        <w:t>13</w:t>
      </w:r>
      <w:r w:rsidRPr="00C65651">
        <w:rPr>
          <w:sz w:val="22"/>
          <w:szCs w:val="22"/>
        </w:rPr>
        <w:t xml:space="preserve"> mars 202</w:t>
      </w:r>
      <w:r w:rsidR="00C65651">
        <w:rPr>
          <w:sz w:val="22"/>
          <w:szCs w:val="22"/>
        </w:rPr>
        <w:t>6</w:t>
      </w:r>
      <w:r w:rsidRPr="00C65651">
        <w:rPr>
          <w:sz w:val="22"/>
          <w:szCs w:val="22"/>
        </w:rPr>
        <w:t xml:space="preserve">, </w:t>
      </w:r>
      <w:proofErr w:type="spellStart"/>
      <w:r w:rsidRPr="00C65651">
        <w:rPr>
          <w:sz w:val="22"/>
          <w:szCs w:val="22"/>
        </w:rPr>
        <w:t>10h45</w:t>
      </w:r>
      <w:proofErr w:type="spellEnd"/>
      <w:r w:rsidRPr="00C65651">
        <w:rPr>
          <w:sz w:val="22"/>
          <w:szCs w:val="22"/>
        </w:rPr>
        <w:t xml:space="preserve"> – </w:t>
      </w:r>
      <w:proofErr w:type="spellStart"/>
      <w:r w:rsidRPr="00C65651">
        <w:rPr>
          <w:sz w:val="22"/>
          <w:szCs w:val="22"/>
        </w:rPr>
        <w:t>12h45</w:t>
      </w:r>
      <w:proofErr w:type="spellEnd"/>
    </w:p>
    <w:p w14:paraId="4C8096DC" w14:textId="77777777" w:rsidR="00A35917" w:rsidRPr="00C65651" w:rsidRDefault="00A35917" w:rsidP="00A35917">
      <w:pPr>
        <w:jc w:val="both"/>
        <w:rPr>
          <w:sz w:val="22"/>
          <w:szCs w:val="22"/>
          <w:u w:val="single"/>
        </w:rPr>
      </w:pPr>
    </w:p>
    <w:p w14:paraId="7E1C1077" w14:textId="77777777" w:rsidR="00933C88" w:rsidRPr="00C65651" w:rsidRDefault="00933C88" w:rsidP="00EF1A35">
      <w:pPr>
        <w:jc w:val="both"/>
        <w:rPr>
          <w:sz w:val="22"/>
          <w:szCs w:val="22"/>
          <w:u w:val="single"/>
        </w:rPr>
      </w:pPr>
    </w:p>
    <w:p w14:paraId="31496D38" w14:textId="117F4602" w:rsidR="00933C88" w:rsidRPr="00BB1093" w:rsidRDefault="00933C88" w:rsidP="00EF1A35">
      <w:pPr>
        <w:jc w:val="both"/>
        <w:rPr>
          <w:sz w:val="22"/>
          <w:szCs w:val="22"/>
          <w:u w:val="single"/>
          <w:lang w:val="en-US"/>
        </w:rPr>
      </w:pPr>
      <w:proofErr w:type="spellStart"/>
      <w:r w:rsidRPr="00BB1093">
        <w:rPr>
          <w:b/>
          <w:bCs/>
          <w:sz w:val="22"/>
          <w:szCs w:val="22"/>
          <w:lang w:val="en-US"/>
        </w:rPr>
        <w:t>CM</w:t>
      </w:r>
      <w:r w:rsidR="00C65651">
        <w:rPr>
          <w:b/>
          <w:bCs/>
          <w:sz w:val="22"/>
          <w:szCs w:val="22"/>
          <w:lang w:val="en-US"/>
        </w:rPr>
        <w:t>5</w:t>
      </w:r>
      <w:proofErr w:type="spellEnd"/>
      <w:r w:rsidRPr="00BB1093">
        <w:rPr>
          <w:sz w:val="22"/>
          <w:szCs w:val="22"/>
          <w:lang w:val="en-US"/>
        </w:rPr>
        <w:t xml:space="preserve"> – </w:t>
      </w:r>
      <w:r w:rsidRPr="00E23E6D">
        <w:rPr>
          <w:b/>
          <w:bCs/>
          <w:i/>
          <w:iCs/>
          <w:sz w:val="22"/>
          <w:szCs w:val="22"/>
          <w:lang w:val="en-US"/>
        </w:rPr>
        <w:t>Celtic from the West</w:t>
      </w:r>
      <w:r w:rsidRPr="00BB1093">
        <w:rPr>
          <w:sz w:val="22"/>
          <w:szCs w:val="22"/>
          <w:lang w:val="en-US"/>
        </w:rPr>
        <w:t xml:space="preserve"> -</w:t>
      </w:r>
    </w:p>
    <w:p w14:paraId="52319183" w14:textId="15B08E22" w:rsidR="00DD7300" w:rsidRPr="00BB1093" w:rsidRDefault="00DD7300" w:rsidP="00EF1A35">
      <w:pPr>
        <w:jc w:val="both"/>
        <w:rPr>
          <w:sz w:val="22"/>
          <w:szCs w:val="22"/>
          <w:lang w:val="en-US"/>
        </w:rPr>
      </w:pPr>
      <w:proofErr w:type="spellStart"/>
      <w:r w:rsidRPr="00BB1093">
        <w:rPr>
          <w:sz w:val="22"/>
          <w:szCs w:val="22"/>
          <w:u w:val="single"/>
          <w:lang w:val="en-US"/>
        </w:rPr>
        <w:t>Bibliographie</w:t>
      </w:r>
      <w:proofErr w:type="spellEnd"/>
      <w:r w:rsidRPr="00BB1093">
        <w:rPr>
          <w:sz w:val="22"/>
          <w:szCs w:val="22"/>
          <w:u w:val="single"/>
          <w:lang w:val="en-US"/>
        </w:rPr>
        <w:t xml:space="preserve"> indicative</w:t>
      </w:r>
      <w:r w:rsidRPr="00BB1093">
        <w:rPr>
          <w:sz w:val="22"/>
          <w:szCs w:val="22"/>
          <w:lang w:val="en-US"/>
        </w:rPr>
        <w:t> :</w:t>
      </w:r>
    </w:p>
    <w:p w14:paraId="21474F48" w14:textId="6D3D7909" w:rsidR="000C7EED" w:rsidRPr="00BB1093" w:rsidRDefault="003C642A" w:rsidP="00EF1A35">
      <w:pPr>
        <w:jc w:val="both"/>
        <w:rPr>
          <w:sz w:val="22"/>
          <w:szCs w:val="22"/>
          <w:lang w:val="en-US"/>
        </w:rPr>
      </w:pPr>
      <w:r w:rsidRPr="00BB1093">
        <w:rPr>
          <w:sz w:val="22"/>
          <w:szCs w:val="22"/>
          <w:lang w:val="en-US"/>
        </w:rPr>
        <w:t>*</w:t>
      </w:r>
      <w:r w:rsidR="000C7EED" w:rsidRPr="00BB1093">
        <w:rPr>
          <w:sz w:val="22"/>
          <w:szCs w:val="22"/>
          <w:lang w:val="en-US"/>
        </w:rPr>
        <w:t xml:space="preserve">Cunliffe B. et Koch J.T., Celtic from the West. Alternative Perspectives from Archaeology, Genetics, Language and Literature, </w:t>
      </w:r>
      <w:r w:rsidR="000C7EED" w:rsidRPr="00BB1093">
        <w:rPr>
          <w:i/>
          <w:sz w:val="22"/>
          <w:szCs w:val="22"/>
          <w:lang w:val="en-US"/>
        </w:rPr>
        <w:t>Celtic Studies Publications</w:t>
      </w:r>
      <w:r w:rsidR="000C7EED" w:rsidRPr="00BB1093">
        <w:rPr>
          <w:sz w:val="22"/>
          <w:szCs w:val="22"/>
          <w:lang w:val="en-US"/>
        </w:rPr>
        <w:t xml:space="preserve"> XV, Oxbow Books, Oxford, 2010.</w:t>
      </w:r>
    </w:p>
    <w:p w14:paraId="29FE00D2" w14:textId="77777777" w:rsidR="000C7EED" w:rsidRPr="00BB1093" w:rsidRDefault="000C7EED" w:rsidP="00EF1A35">
      <w:pPr>
        <w:jc w:val="both"/>
        <w:rPr>
          <w:sz w:val="22"/>
          <w:szCs w:val="22"/>
          <w:lang w:val="en-US"/>
        </w:rPr>
      </w:pPr>
      <w:r w:rsidRPr="00BB1093">
        <w:rPr>
          <w:sz w:val="22"/>
          <w:szCs w:val="22"/>
          <w:lang w:val="en-US"/>
        </w:rPr>
        <w:t xml:space="preserve">Cunliffe B. et Koch J.T., Celtic from the West 2. Rethinking the Bronze Age and the Arrival of Indo-European in Atlantic Europe, </w:t>
      </w:r>
      <w:r w:rsidRPr="00BB1093">
        <w:rPr>
          <w:i/>
          <w:sz w:val="22"/>
          <w:szCs w:val="22"/>
          <w:lang w:val="en-US"/>
        </w:rPr>
        <w:t>Celtic Studies Publications</w:t>
      </w:r>
      <w:r w:rsidRPr="00BB1093">
        <w:rPr>
          <w:sz w:val="22"/>
          <w:szCs w:val="22"/>
          <w:lang w:val="en-US"/>
        </w:rPr>
        <w:t xml:space="preserve"> XVI, Oxbow Books, Oxford, 2013.</w:t>
      </w:r>
    </w:p>
    <w:p w14:paraId="0CD3ED04" w14:textId="77777777" w:rsidR="000C7EED" w:rsidRPr="00BB1093" w:rsidRDefault="000C7EED" w:rsidP="00EF1A35">
      <w:pPr>
        <w:jc w:val="both"/>
        <w:rPr>
          <w:sz w:val="22"/>
          <w:szCs w:val="22"/>
          <w:lang w:val="en-US"/>
        </w:rPr>
      </w:pPr>
      <w:r w:rsidRPr="00BB1093">
        <w:rPr>
          <w:sz w:val="22"/>
          <w:szCs w:val="22"/>
          <w:lang w:val="en-US"/>
        </w:rPr>
        <w:t xml:space="preserve">Cunliffe B. et Koch J.T., Celtic from the West 3. Atlantic Europe in the Metal Age – questions of shared language, </w:t>
      </w:r>
      <w:r w:rsidRPr="00BB1093">
        <w:rPr>
          <w:i/>
          <w:sz w:val="22"/>
          <w:szCs w:val="22"/>
          <w:lang w:val="en-US"/>
        </w:rPr>
        <w:t>Celtic Studies Publications</w:t>
      </w:r>
      <w:r w:rsidRPr="00BB1093">
        <w:rPr>
          <w:sz w:val="22"/>
          <w:szCs w:val="22"/>
          <w:lang w:val="en-US"/>
        </w:rPr>
        <w:t>, Oxbow Books, Oxford, 2016.</w:t>
      </w:r>
    </w:p>
    <w:p w14:paraId="46432F42" w14:textId="77777777" w:rsidR="000C7EED" w:rsidRPr="00BB1093" w:rsidRDefault="000C7EED" w:rsidP="00EF1A35">
      <w:pPr>
        <w:jc w:val="both"/>
        <w:rPr>
          <w:sz w:val="22"/>
          <w:szCs w:val="22"/>
          <w:lang w:val="en-US"/>
        </w:rPr>
      </w:pPr>
      <w:r w:rsidRPr="00BB1093">
        <w:rPr>
          <w:sz w:val="22"/>
          <w:szCs w:val="22"/>
          <w:lang w:val="en-US"/>
        </w:rPr>
        <w:t xml:space="preserve">Cunliffe B. et Koch J.T., </w:t>
      </w:r>
      <w:r w:rsidRPr="00BB1093">
        <w:rPr>
          <w:i/>
          <w:iCs/>
          <w:sz w:val="22"/>
          <w:szCs w:val="22"/>
          <w:lang w:val="en-US"/>
        </w:rPr>
        <w:t>Exploring Celtic Origins. New Ways Forwards Archaeology, Linguistics, and Genetics</w:t>
      </w:r>
      <w:r w:rsidRPr="00BB1093">
        <w:rPr>
          <w:sz w:val="22"/>
          <w:szCs w:val="22"/>
          <w:lang w:val="en-US"/>
        </w:rPr>
        <w:t>, Oxbow Books, Oxford, 2020.</w:t>
      </w:r>
    </w:p>
    <w:p w14:paraId="1AF6BD66" w14:textId="77777777" w:rsidR="000C7EED" w:rsidRPr="00BB1093" w:rsidRDefault="000C7EED" w:rsidP="00EF1A35">
      <w:pPr>
        <w:jc w:val="both"/>
        <w:rPr>
          <w:sz w:val="22"/>
          <w:szCs w:val="22"/>
          <w:lang w:val="en-US"/>
        </w:rPr>
      </w:pPr>
    </w:p>
    <w:p w14:paraId="0DB2F8BF" w14:textId="012FEC92" w:rsidR="00D5001E" w:rsidRPr="00BB1093" w:rsidRDefault="00D5001E" w:rsidP="00EF1A35">
      <w:pPr>
        <w:jc w:val="both"/>
        <w:rPr>
          <w:color w:val="202122"/>
          <w:sz w:val="22"/>
          <w:szCs w:val="22"/>
          <w:shd w:val="clear" w:color="auto" w:fill="FFFFFF"/>
        </w:rPr>
      </w:pPr>
      <w:r w:rsidRPr="00BB1093">
        <w:rPr>
          <w:sz w:val="22"/>
          <w:szCs w:val="22"/>
        </w:rPr>
        <w:t xml:space="preserve">Deux chercheurs, l’un, archéologue, Barry 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 (Chaire de protohistoire européenne, université d’Oxford) et, l’autre, linguiste, John T. Koch (</w:t>
      </w:r>
      <w:r w:rsidRPr="00BB1093">
        <w:rPr>
          <w:color w:val="202122"/>
          <w:sz w:val="22"/>
          <w:szCs w:val="22"/>
          <w:shd w:val="clear" w:color="auto" w:fill="FFFFFF"/>
        </w:rPr>
        <w:t>professeur de langue et littérature celtiques, université du Pays de Galles et directeur du </w:t>
      </w:r>
      <w:r w:rsidRPr="00BB1093">
        <w:rPr>
          <w:i/>
          <w:iCs/>
          <w:color w:val="202122"/>
          <w:sz w:val="22"/>
          <w:szCs w:val="22"/>
          <w:shd w:val="clear" w:color="auto" w:fill="FFFFFF"/>
        </w:rPr>
        <w:t xml:space="preserve">Centre for Advanced Welsh &amp; Celtic </w:t>
      </w:r>
      <w:proofErr w:type="spellStart"/>
      <w:r w:rsidRPr="00BB1093">
        <w:rPr>
          <w:i/>
          <w:iCs/>
          <w:color w:val="202122"/>
          <w:sz w:val="22"/>
          <w:szCs w:val="22"/>
          <w:shd w:val="clear" w:color="auto" w:fill="FFFFFF"/>
        </w:rPr>
        <w:t>Studies</w:t>
      </w:r>
      <w:proofErr w:type="spellEnd"/>
      <w:r w:rsidRPr="00BB1093">
        <w:rPr>
          <w:color w:val="202122"/>
          <w:sz w:val="22"/>
          <w:szCs w:val="22"/>
          <w:shd w:val="clear" w:color="auto" w:fill="FFFFFF"/>
        </w:rPr>
        <w:t>)</w:t>
      </w:r>
      <w:r w:rsidR="00067999" w:rsidRPr="00BB1093">
        <w:rPr>
          <w:color w:val="202122"/>
          <w:sz w:val="22"/>
          <w:szCs w:val="22"/>
          <w:shd w:val="clear" w:color="auto" w:fill="FFFFFF"/>
        </w:rPr>
        <w:t>,</w:t>
      </w:r>
      <w:r w:rsidRPr="00BB1093">
        <w:rPr>
          <w:color w:val="202122"/>
          <w:sz w:val="22"/>
          <w:szCs w:val="22"/>
          <w:shd w:val="clear" w:color="auto" w:fill="FFFFFF"/>
        </w:rPr>
        <w:t xml:space="preserve"> s’interroge</w:t>
      </w:r>
      <w:r w:rsidR="00067999" w:rsidRPr="00BB1093">
        <w:rPr>
          <w:color w:val="202122"/>
          <w:sz w:val="22"/>
          <w:szCs w:val="22"/>
          <w:shd w:val="clear" w:color="auto" w:fill="FFFFFF"/>
        </w:rPr>
        <w:t>a</w:t>
      </w:r>
      <w:r w:rsidRPr="00BB1093">
        <w:rPr>
          <w:color w:val="202122"/>
          <w:sz w:val="22"/>
          <w:szCs w:val="22"/>
          <w:shd w:val="clear" w:color="auto" w:fill="FFFFFF"/>
        </w:rPr>
        <w:t>nt l’un et l’autre sur l’origine des Celtes et leur(s) langue</w:t>
      </w:r>
      <w:r w:rsidR="005070B6" w:rsidRPr="00BB1093">
        <w:rPr>
          <w:color w:val="202122"/>
          <w:sz w:val="22"/>
          <w:szCs w:val="22"/>
          <w:shd w:val="clear" w:color="auto" w:fill="FFFFFF"/>
        </w:rPr>
        <w:t>(</w:t>
      </w:r>
      <w:r w:rsidRPr="00BB1093">
        <w:rPr>
          <w:color w:val="202122"/>
          <w:sz w:val="22"/>
          <w:szCs w:val="22"/>
          <w:shd w:val="clear" w:color="auto" w:fill="FFFFFF"/>
        </w:rPr>
        <w:t>s)</w:t>
      </w:r>
      <w:r w:rsidR="00067999" w:rsidRPr="00BB1093">
        <w:rPr>
          <w:color w:val="202122"/>
          <w:sz w:val="22"/>
          <w:szCs w:val="22"/>
          <w:shd w:val="clear" w:color="auto" w:fill="FFFFFF"/>
        </w:rPr>
        <w:t>,</w:t>
      </w:r>
      <w:r w:rsidRPr="00BB1093">
        <w:rPr>
          <w:color w:val="202122"/>
          <w:sz w:val="22"/>
          <w:szCs w:val="22"/>
          <w:shd w:val="clear" w:color="auto" w:fill="FFFFFF"/>
        </w:rPr>
        <w:t xml:space="preserve"> aboutissent à des résultats communs : une possible origine dans la zone Atlantique dès l’âge du Bronze (IIe millénaire</w:t>
      </w:r>
      <w:r w:rsidR="00482F8C">
        <w:rPr>
          <w:color w:val="202122"/>
          <w:sz w:val="22"/>
          <w:szCs w:val="22"/>
          <w:shd w:val="clear" w:color="auto" w:fill="FFFFFF"/>
        </w:rPr>
        <w:t xml:space="preserve"> av. J.-C.</w:t>
      </w:r>
      <w:r w:rsidRPr="00BB1093">
        <w:rPr>
          <w:color w:val="202122"/>
          <w:sz w:val="22"/>
          <w:szCs w:val="22"/>
          <w:shd w:val="clear" w:color="auto" w:fill="FFFFFF"/>
        </w:rPr>
        <w:t>)</w:t>
      </w:r>
      <w:r w:rsidR="00067999" w:rsidRPr="00BB1093">
        <w:rPr>
          <w:color w:val="202122"/>
          <w:sz w:val="22"/>
          <w:szCs w:val="22"/>
          <w:shd w:val="clear" w:color="auto" w:fill="FFFFFF"/>
        </w:rPr>
        <w:t xml:space="preserve">, qu’ils nomment </w:t>
      </w:r>
      <w:r w:rsidRPr="00BB1093">
        <w:rPr>
          <w:color w:val="202122"/>
          <w:sz w:val="22"/>
          <w:szCs w:val="22"/>
          <w:shd w:val="clear" w:color="auto" w:fill="FFFFFF"/>
        </w:rPr>
        <w:t>« </w:t>
      </w:r>
      <w:proofErr w:type="spellStart"/>
      <w:r w:rsidRPr="00BB1093">
        <w:rPr>
          <w:color w:val="202122"/>
          <w:sz w:val="22"/>
          <w:szCs w:val="22"/>
          <w:shd w:val="clear" w:color="auto" w:fill="FFFFFF"/>
        </w:rPr>
        <w:t>Celticization</w:t>
      </w:r>
      <w:proofErr w:type="spellEnd"/>
      <w:r w:rsidRPr="00BB1093">
        <w:rPr>
          <w:color w:val="202122"/>
          <w:sz w:val="22"/>
          <w:szCs w:val="22"/>
          <w:shd w:val="clear" w:color="auto" w:fill="FFFFFF"/>
        </w:rPr>
        <w:t xml:space="preserve"> </w:t>
      </w:r>
      <w:proofErr w:type="spellStart"/>
      <w:r w:rsidRPr="00BB1093">
        <w:rPr>
          <w:color w:val="202122"/>
          <w:sz w:val="22"/>
          <w:szCs w:val="22"/>
          <w:shd w:val="clear" w:color="auto" w:fill="FFFFFF"/>
        </w:rPr>
        <w:t>from</w:t>
      </w:r>
      <w:proofErr w:type="spellEnd"/>
      <w:r w:rsidRPr="00BB1093">
        <w:rPr>
          <w:color w:val="202122"/>
          <w:sz w:val="22"/>
          <w:szCs w:val="22"/>
          <w:shd w:val="clear" w:color="auto" w:fill="FFFFFF"/>
        </w:rPr>
        <w:t xml:space="preserve"> the West ». Ces travaux font l’objet d’une première table-ronde</w:t>
      </w:r>
      <w:r w:rsidR="00067999" w:rsidRPr="00BB1093">
        <w:rPr>
          <w:color w:val="202122"/>
          <w:sz w:val="22"/>
          <w:szCs w:val="22"/>
          <w:shd w:val="clear" w:color="auto" w:fill="FFFFFF"/>
        </w:rPr>
        <w:t xml:space="preserve"> (National Library of Wales, Aberystwyth, le 6 décembre 2008).</w:t>
      </w:r>
    </w:p>
    <w:p w14:paraId="212DF625" w14:textId="77777777" w:rsidR="00BB1093" w:rsidRDefault="00BB1093" w:rsidP="00EF1A35">
      <w:pPr>
        <w:jc w:val="both"/>
        <w:rPr>
          <w:sz w:val="22"/>
          <w:szCs w:val="22"/>
        </w:rPr>
      </w:pPr>
    </w:p>
    <w:p w14:paraId="7A33D168" w14:textId="0CE8D615" w:rsidR="000D0641" w:rsidRPr="00BB1093" w:rsidRDefault="00067999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A la suite de ses travaux publiés au début des années 2000 (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 B., </w:t>
      </w:r>
      <w:proofErr w:type="spellStart"/>
      <w:r w:rsidRPr="00BB1093">
        <w:rPr>
          <w:i/>
          <w:iCs/>
          <w:sz w:val="22"/>
          <w:szCs w:val="22"/>
        </w:rPr>
        <w:t>Facing</w:t>
      </w:r>
      <w:proofErr w:type="spellEnd"/>
      <w:r w:rsidRPr="00BB1093">
        <w:rPr>
          <w:i/>
          <w:iCs/>
          <w:sz w:val="22"/>
          <w:szCs w:val="22"/>
        </w:rPr>
        <w:t xml:space="preserve"> the </w:t>
      </w:r>
      <w:proofErr w:type="spellStart"/>
      <w:r w:rsidRPr="00BB1093">
        <w:rPr>
          <w:i/>
          <w:iCs/>
          <w:sz w:val="22"/>
          <w:szCs w:val="22"/>
        </w:rPr>
        <w:t>Ocean</w:t>
      </w:r>
      <w:proofErr w:type="spellEnd"/>
      <w:r w:rsidRPr="00BB1093">
        <w:rPr>
          <w:i/>
          <w:iCs/>
          <w:sz w:val="22"/>
          <w:szCs w:val="22"/>
        </w:rPr>
        <w:t xml:space="preserve"> : the Atlantic and </w:t>
      </w:r>
      <w:proofErr w:type="spellStart"/>
      <w:r w:rsidRPr="00BB1093">
        <w:rPr>
          <w:i/>
          <w:iCs/>
          <w:sz w:val="22"/>
          <w:szCs w:val="22"/>
        </w:rPr>
        <w:t>its</w:t>
      </w:r>
      <w:proofErr w:type="spellEnd"/>
      <w:r w:rsidRPr="00BB1093">
        <w:rPr>
          <w:i/>
          <w:iCs/>
          <w:sz w:val="22"/>
          <w:szCs w:val="22"/>
        </w:rPr>
        <w:t xml:space="preserve"> People 8000 BC-AD 1500</w:t>
      </w:r>
      <w:r w:rsidRPr="00BB1093">
        <w:rPr>
          <w:sz w:val="22"/>
          <w:szCs w:val="22"/>
        </w:rPr>
        <w:t xml:space="preserve">, Oxford </w:t>
      </w:r>
      <w:proofErr w:type="spellStart"/>
      <w:r w:rsidRPr="00BB1093">
        <w:rPr>
          <w:sz w:val="22"/>
          <w:szCs w:val="22"/>
        </w:rPr>
        <w:t>University</w:t>
      </w:r>
      <w:proofErr w:type="spellEnd"/>
      <w:r w:rsidRPr="00BB1093">
        <w:rPr>
          <w:sz w:val="22"/>
          <w:szCs w:val="22"/>
        </w:rPr>
        <w:t xml:space="preserve"> </w:t>
      </w:r>
      <w:proofErr w:type="spellStart"/>
      <w:r w:rsidRPr="00BB1093">
        <w:rPr>
          <w:sz w:val="22"/>
          <w:szCs w:val="22"/>
        </w:rPr>
        <w:t>Press</w:t>
      </w:r>
      <w:proofErr w:type="spellEnd"/>
      <w:r w:rsidRPr="00BB1093">
        <w:rPr>
          <w:sz w:val="22"/>
          <w:szCs w:val="22"/>
        </w:rPr>
        <w:t xml:space="preserve">, Oxford, 2001), B. 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 développe sa théorie</w:t>
      </w:r>
      <w:r w:rsidR="00482F8C">
        <w:rPr>
          <w:sz w:val="22"/>
          <w:szCs w:val="22"/>
        </w:rPr>
        <w:t>,</w:t>
      </w:r>
      <w:r w:rsidRPr="00BB1093">
        <w:rPr>
          <w:sz w:val="22"/>
          <w:szCs w:val="22"/>
        </w:rPr>
        <w:t xml:space="preserve"> initialement fondée sur les données archéologiques, en incluant les travaux des linguistes, dont ceux réalisés par P. </w:t>
      </w:r>
      <w:proofErr w:type="spellStart"/>
      <w:r w:rsidRPr="00BB1093">
        <w:rPr>
          <w:sz w:val="22"/>
          <w:szCs w:val="22"/>
        </w:rPr>
        <w:t>Sims</w:t>
      </w:r>
      <w:proofErr w:type="spellEnd"/>
      <w:r w:rsidRPr="00BB1093">
        <w:rPr>
          <w:sz w:val="22"/>
          <w:szCs w:val="22"/>
        </w:rPr>
        <w:t>-Williams</w:t>
      </w:r>
      <w:r w:rsidR="00D5001E" w:rsidRPr="00BB1093">
        <w:rPr>
          <w:sz w:val="22"/>
          <w:szCs w:val="22"/>
        </w:rPr>
        <w:t xml:space="preserve"> </w:t>
      </w:r>
      <w:r w:rsidR="000D0641" w:rsidRPr="00BB1093">
        <w:rPr>
          <w:sz w:val="22"/>
          <w:szCs w:val="22"/>
        </w:rPr>
        <w:t>(</w:t>
      </w:r>
      <w:proofErr w:type="spellStart"/>
      <w:r w:rsidR="000D0641" w:rsidRPr="00BB1093">
        <w:rPr>
          <w:sz w:val="22"/>
          <w:szCs w:val="22"/>
        </w:rPr>
        <w:t>Sims</w:t>
      </w:r>
      <w:proofErr w:type="spellEnd"/>
      <w:r w:rsidR="000D0641" w:rsidRPr="00BB1093">
        <w:rPr>
          <w:sz w:val="22"/>
          <w:szCs w:val="22"/>
        </w:rPr>
        <w:t>-Williams P., Ancient Celtic Place-</w:t>
      </w:r>
      <w:proofErr w:type="spellStart"/>
      <w:r w:rsidR="000D0641" w:rsidRPr="00BB1093">
        <w:rPr>
          <w:sz w:val="22"/>
          <w:szCs w:val="22"/>
        </w:rPr>
        <w:t>Names</w:t>
      </w:r>
      <w:proofErr w:type="spellEnd"/>
      <w:r w:rsidR="000D0641" w:rsidRPr="00BB1093">
        <w:rPr>
          <w:sz w:val="22"/>
          <w:szCs w:val="22"/>
        </w:rPr>
        <w:t xml:space="preserve"> in Europe and Asia Minor, </w:t>
      </w:r>
      <w:r w:rsidR="000D0641" w:rsidRPr="00BB1093">
        <w:rPr>
          <w:i/>
          <w:iCs/>
          <w:sz w:val="22"/>
          <w:szCs w:val="22"/>
        </w:rPr>
        <w:t xml:space="preserve">Publications of the </w:t>
      </w:r>
      <w:proofErr w:type="spellStart"/>
      <w:r w:rsidR="000D0641" w:rsidRPr="00BB1093">
        <w:rPr>
          <w:i/>
          <w:iCs/>
          <w:sz w:val="22"/>
          <w:szCs w:val="22"/>
        </w:rPr>
        <w:t>Philological</w:t>
      </w:r>
      <w:proofErr w:type="spellEnd"/>
      <w:r w:rsidR="000D0641" w:rsidRPr="00BB1093">
        <w:rPr>
          <w:i/>
          <w:iCs/>
          <w:sz w:val="22"/>
          <w:szCs w:val="22"/>
        </w:rPr>
        <w:t xml:space="preserve"> Society</w:t>
      </w:r>
      <w:r w:rsidR="000D0641" w:rsidRPr="00BB1093">
        <w:rPr>
          <w:sz w:val="22"/>
          <w:szCs w:val="22"/>
        </w:rPr>
        <w:t xml:space="preserve"> 39, 2006).</w:t>
      </w:r>
    </w:p>
    <w:p w14:paraId="09667E70" w14:textId="77777777" w:rsidR="00D5001E" w:rsidRPr="00BB1093" w:rsidRDefault="00D5001E" w:rsidP="00EF1A35">
      <w:pPr>
        <w:jc w:val="both"/>
        <w:rPr>
          <w:sz w:val="22"/>
          <w:szCs w:val="22"/>
        </w:rPr>
      </w:pPr>
    </w:p>
    <w:p w14:paraId="3C0D3C9E" w14:textId="2293F963" w:rsidR="00D5001E" w:rsidRPr="00BB1093" w:rsidRDefault="00BB1093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B. </w:t>
      </w:r>
      <w:proofErr w:type="spellStart"/>
      <w:r w:rsidR="00D5001E" w:rsidRPr="00BB1093">
        <w:rPr>
          <w:sz w:val="22"/>
          <w:szCs w:val="22"/>
        </w:rPr>
        <w:t>Cunliffe</w:t>
      </w:r>
      <w:proofErr w:type="spellEnd"/>
      <w:r w:rsidR="00D5001E" w:rsidRPr="00BB1093">
        <w:rPr>
          <w:sz w:val="22"/>
          <w:szCs w:val="22"/>
        </w:rPr>
        <w:t xml:space="preserve"> qualifie de </w:t>
      </w:r>
      <w:r w:rsidR="00504AA0" w:rsidRPr="00BB1093">
        <w:rPr>
          <w:sz w:val="22"/>
          <w:szCs w:val="22"/>
        </w:rPr>
        <w:t>« </w:t>
      </w:r>
      <w:proofErr w:type="spellStart"/>
      <w:r w:rsidR="00D5001E" w:rsidRPr="00BB1093">
        <w:rPr>
          <w:sz w:val="22"/>
          <w:szCs w:val="22"/>
        </w:rPr>
        <w:t>traditional</w:t>
      </w:r>
      <w:proofErr w:type="spellEnd"/>
      <w:r w:rsidR="00D5001E" w:rsidRPr="00BB1093">
        <w:rPr>
          <w:sz w:val="22"/>
          <w:szCs w:val="22"/>
        </w:rPr>
        <w:t xml:space="preserve"> </w:t>
      </w:r>
      <w:proofErr w:type="spellStart"/>
      <w:r w:rsidR="00D5001E" w:rsidRPr="00BB1093">
        <w:rPr>
          <w:sz w:val="22"/>
          <w:szCs w:val="22"/>
        </w:rPr>
        <w:t>belief</w:t>
      </w:r>
      <w:proofErr w:type="spellEnd"/>
      <w:r w:rsidR="00504AA0" w:rsidRPr="00BB1093">
        <w:rPr>
          <w:sz w:val="22"/>
          <w:szCs w:val="22"/>
        </w:rPr>
        <w:t xml:space="preserve"> »</w:t>
      </w:r>
      <w:r w:rsidR="00D5001E" w:rsidRPr="00BB1093">
        <w:rPr>
          <w:sz w:val="22"/>
          <w:szCs w:val="22"/>
        </w:rPr>
        <w:t xml:space="preserve"> l’hypothèse selon laquelle les Celtes seraient originaires de l’ouest de l’Europe centrale</w:t>
      </w:r>
      <w:r w:rsidR="000D0641" w:rsidRPr="00BB1093">
        <w:rPr>
          <w:sz w:val="22"/>
          <w:szCs w:val="22"/>
        </w:rPr>
        <w:t xml:space="preserve">, </w:t>
      </w:r>
      <w:r w:rsidRPr="00BB1093">
        <w:rPr>
          <w:sz w:val="22"/>
          <w:szCs w:val="22"/>
        </w:rPr>
        <w:t xml:space="preserve">une hypothèse </w:t>
      </w:r>
      <w:r w:rsidR="000D0641" w:rsidRPr="00BB1093">
        <w:rPr>
          <w:sz w:val="22"/>
          <w:szCs w:val="22"/>
        </w:rPr>
        <w:t xml:space="preserve">qui </w:t>
      </w:r>
      <w:r w:rsidR="00D5001E" w:rsidRPr="00BB1093">
        <w:rPr>
          <w:sz w:val="22"/>
          <w:szCs w:val="22"/>
        </w:rPr>
        <w:t>est</w:t>
      </w:r>
      <w:r w:rsidR="000D0641" w:rsidRPr="00BB1093">
        <w:rPr>
          <w:sz w:val="22"/>
          <w:szCs w:val="22"/>
        </w:rPr>
        <w:t>,</w:t>
      </w:r>
      <w:r w:rsidR="00D5001E" w:rsidRPr="00BB1093">
        <w:rPr>
          <w:sz w:val="22"/>
          <w:szCs w:val="22"/>
        </w:rPr>
        <w:t xml:space="preserve"> pour une large part</w:t>
      </w:r>
      <w:r w:rsidR="000D0641" w:rsidRPr="00BB1093">
        <w:rPr>
          <w:sz w:val="22"/>
          <w:szCs w:val="22"/>
        </w:rPr>
        <w:t>,</w:t>
      </w:r>
      <w:r w:rsidR="00D5001E" w:rsidRPr="00BB1093">
        <w:rPr>
          <w:sz w:val="22"/>
          <w:szCs w:val="22"/>
        </w:rPr>
        <w:t xml:space="preserve"> une construction mentale </w:t>
      </w:r>
      <w:r w:rsidR="000D0641" w:rsidRPr="00BB1093">
        <w:rPr>
          <w:sz w:val="22"/>
          <w:szCs w:val="22"/>
        </w:rPr>
        <w:t>élaborée à partir des sites et du mobilier archéologique découverts au XIXe et au début du XXe siècle</w:t>
      </w:r>
      <w:r w:rsidR="00D5001E" w:rsidRPr="00BB1093">
        <w:rPr>
          <w:sz w:val="22"/>
          <w:szCs w:val="22"/>
        </w:rPr>
        <w:t xml:space="preserve"> </w:t>
      </w:r>
      <w:r w:rsidR="000D0641" w:rsidRPr="00BB1093">
        <w:rPr>
          <w:sz w:val="22"/>
          <w:szCs w:val="22"/>
        </w:rPr>
        <w:t xml:space="preserve">(pour le continent, </w:t>
      </w:r>
      <w:r w:rsidR="00504AA0" w:rsidRPr="00BB1093">
        <w:rPr>
          <w:sz w:val="22"/>
          <w:szCs w:val="22"/>
        </w:rPr>
        <w:t xml:space="preserve">voir, </w:t>
      </w:r>
      <w:r w:rsidR="000D0641" w:rsidRPr="00BB1093">
        <w:rPr>
          <w:sz w:val="22"/>
          <w:szCs w:val="22"/>
        </w:rPr>
        <w:t xml:space="preserve">entre autres, </w:t>
      </w:r>
      <w:r w:rsidR="00504AA0" w:rsidRPr="00BB1093">
        <w:rPr>
          <w:sz w:val="22"/>
          <w:szCs w:val="22"/>
        </w:rPr>
        <w:t xml:space="preserve">les travaux de </w:t>
      </w:r>
      <w:r w:rsidR="000D0641" w:rsidRPr="00BB1093">
        <w:rPr>
          <w:sz w:val="22"/>
          <w:szCs w:val="22"/>
        </w:rPr>
        <w:t xml:space="preserve">J. </w:t>
      </w:r>
      <w:r w:rsidR="00D5001E" w:rsidRPr="00BB1093">
        <w:rPr>
          <w:sz w:val="22"/>
          <w:szCs w:val="22"/>
        </w:rPr>
        <w:t>Déchelette</w:t>
      </w:r>
      <w:r w:rsidR="000D0641" w:rsidRPr="00BB1093">
        <w:rPr>
          <w:sz w:val="22"/>
          <w:szCs w:val="22"/>
        </w:rPr>
        <w:t>, 1862-1914 ;</w:t>
      </w:r>
      <w:r w:rsidR="00D5001E" w:rsidRPr="00BB1093">
        <w:rPr>
          <w:sz w:val="22"/>
          <w:szCs w:val="22"/>
        </w:rPr>
        <w:t xml:space="preserve"> </w:t>
      </w:r>
      <w:r w:rsidR="000D0641" w:rsidRPr="00BB1093">
        <w:rPr>
          <w:sz w:val="22"/>
          <w:szCs w:val="22"/>
        </w:rPr>
        <w:t xml:space="preserve">P. </w:t>
      </w:r>
      <w:proofErr w:type="spellStart"/>
      <w:r w:rsidR="00D5001E" w:rsidRPr="00BB1093">
        <w:rPr>
          <w:sz w:val="22"/>
          <w:szCs w:val="22"/>
        </w:rPr>
        <w:t>Reinecke</w:t>
      </w:r>
      <w:proofErr w:type="spellEnd"/>
      <w:r w:rsidR="000D0641" w:rsidRPr="00BB1093">
        <w:rPr>
          <w:sz w:val="22"/>
          <w:szCs w:val="22"/>
        </w:rPr>
        <w:t>, 1872-1958 et, pour le domaine insulaire, entre autres,</w:t>
      </w:r>
      <w:r w:rsidR="00D5001E" w:rsidRPr="00BB1093">
        <w:rPr>
          <w:sz w:val="22"/>
          <w:szCs w:val="22"/>
        </w:rPr>
        <w:t xml:space="preserve"> </w:t>
      </w:r>
      <w:r w:rsidR="00504AA0" w:rsidRPr="00BB1093">
        <w:rPr>
          <w:sz w:val="22"/>
          <w:szCs w:val="22"/>
        </w:rPr>
        <w:t xml:space="preserve">ceux de </w:t>
      </w:r>
      <w:r w:rsidR="000D0641" w:rsidRPr="00BB1093">
        <w:rPr>
          <w:sz w:val="22"/>
          <w:szCs w:val="22"/>
        </w:rPr>
        <w:t xml:space="preserve">S. </w:t>
      </w:r>
      <w:proofErr w:type="spellStart"/>
      <w:r w:rsidR="00D5001E" w:rsidRPr="00BB1093">
        <w:rPr>
          <w:sz w:val="22"/>
          <w:szCs w:val="22"/>
        </w:rPr>
        <w:t>Piggott</w:t>
      </w:r>
      <w:proofErr w:type="spellEnd"/>
      <w:r w:rsidR="000D0641" w:rsidRPr="00BB1093">
        <w:rPr>
          <w:sz w:val="22"/>
          <w:szCs w:val="22"/>
        </w:rPr>
        <w:t>, 1910-1996).</w:t>
      </w:r>
    </w:p>
    <w:p w14:paraId="25117698" w14:textId="77777777" w:rsidR="00BB1093" w:rsidRPr="00BB1093" w:rsidRDefault="00BB1093" w:rsidP="00EF1A35">
      <w:pPr>
        <w:jc w:val="both"/>
        <w:rPr>
          <w:b/>
          <w:bCs/>
          <w:sz w:val="22"/>
          <w:szCs w:val="22"/>
        </w:rPr>
      </w:pPr>
    </w:p>
    <w:p w14:paraId="5CC47BAF" w14:textId="1BBAD10F" w:rsidR="00D5001E" w:rsidRPr="00BB1093" w:rsidRDefault="00852CB5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Selon B.</w:t>
      </w:r>
      <w:r w:rsidR="00D5001E" w:rsidRPr="00BB1093">
        <w:rPr>
          <w:sz w:val="22"/>
          <w:szCs w:val="22"/>
        </w:rPr>
        <w:t xml:space="preserve"> </w:t>
      </w:r>
      <w:proofErr w:type="spellStart"/>
      <w:r w:rsidR="00D5001E" w:rsidRPr="00BB1093">
        <w:rPr>
          <w:sz w:val="22"/>
          <w:szCs w:val="22"/>
        </w:rPr>
        <w:t>Cunliffe</w:t>
      </w:r>
      <w:proofErr w:type="spellEnd"/>
      <w:r w:rsidR="005C795F" w:rsidRPr="00BB1093">
        <w:rPr>
          <w:sz w:val="22"/>
          <w:szCs w:val="22"/>
        </w:rPr>
        <w:t>,</w:t>
      </w:r>
      <w:r w:rsidR="00D5001E" w:rsidRPr="00BB1093">
        <w:rPr>
          <w:sz w:val="22"/>
          <w:szCs w:val="22"/>
        </w:rPr>
        <w:t xml:space="preserve"> la complexité des lieux </w:t>
      </w:r>
      <w:r w:rsidRPr="00BB1093">
        <w:rPr>
          <w:sz w:val="22"/>
          <w:szCs w:val="22"/>
        </w:rPr>
        <w:t xml:space="preserve">de la façade Atlantique </w:t>
      </w:r>
      <w:r w:rsidR="00D5001E" w:rsidRPr="00BB1093">
        <w:rPr>
          <w:sz w:val="22"/>
          <w:szCs w:val="22"/>
        </w:rPr>
        <w:t>a impliqué le cabotage plutôt que la haute mer, favorisant les échanges de biens et de personnes le long des côtes, du détroit de Gibraltar aux îles</w:t>
      </w:r>
      <w:r w:rsidR="005C795F" w:rsidRPr="00BB1093">
        <w:rPr>
          <w:sz w:val="22"/>
          <w:szCs w:val="22"/>
        </w:rPr>
        <w:t xml:space="preserve"> Shetland</w:t>
      </w:r>
      <w:r w:rsidR="00D5001E" w:rsidRPr="00BB1093">
        <w:rPr>
          <w:sz w:val="22"/>
          <w:szCs w:val="22"/>
        </w:rPr>
        <w:t>.</w:t>
      </w:r>
    </w:p>
    <w:p w14:paraId="744311EC" w14:textId="77777777" w:rsidR="00BB1093" w:rsidRPr="00BB1093" w:rsidRDefault="00BB1093" w:rsidP="00EF1A35">
      <w:pPr>
        <w:jc w:val="both"/>
        <w:rPr>
          <w:b/>
          <w:bCs/>
          <w:sz w:val="22"/>
          <w:szCs w:val="22"/>
        </w:rPr>
      </w:pPr>
    </w:p>
    <w:p w14:paraId="75EEF0DF" w14:textId="77D9A95B" w:rsidR="00D5001E" w:rsidRPr="00BB1093" w:rsidRDefault="00852CB5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B. </w:t>
      </w:r>
      <w:proofErr w:type="spellStart"/>
      <w:r w:rsidR="00D5001E" w:rsidRPr="00BB1093">
        <w:rPr>
          <w:sz w:val="22"/>
          <w:szCs w:val="22"/>
        </w:rPr>
        <w:t>Cunliffe</w:t>
      </w:r>
      <w:proofErr w:type="spellEnd"/>
      <w:r w:rsidR="00D5001E" w:rsidRPr="00BB1093">
        <w:rPr>
          <w:sz w:val="22"/>
          <w:szCs w:val="22"/>
        </w:rPr>
        <w:t xml:space="preserve"> distingue plusieurs phases de connexion sur la façade Atlantique :</w:t>
      </w:r>
    </w:p>
    <w:p w14:paraId="6A9B7F6A" w14:textId="4B98ADFB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-établissement de la connexion / 5000-2700 </w:t>
      </w:r>
      <w:r w:rsidR="00E323B9" w:rsidRPr="00BB1093">
        <w:rPr>
          <w:sz w:val="22"/>
          <w:szCs w:val="22"/>
        </w:rPr>
        <w:t>av. J.-C.</w:t>
      </w:r>
      <w:r w:rsidRPr="00BB1093">
        <w:rPr>
          <w:sz w:val="22"/>
          <w:szCs w:val="22"/>
        </w:rPr>
        <w:t xml:space="preserve"> (= néolithique)</w:t>
      </w:r>
    </w:p>
    <w:p w14:paraId="6A73EEA1" w14:textId="09E3AC63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-mobilité croissante / 2700-2200 </w:t>
      </w:r>
      <w:r w:rsidR="00E323B9" w:rsidRPr="00BB1093">
        <w:rPr>
          <w:sz w:val="22"/>
          <w:szCs w:val="22"/>
        </w:rPr>
        <w:t xml:space="preserve">av. J.-C. </w:t>
      </w:r>
      <w:r w:rsidRPr="00BB1093">
        <w:rPr>
          <w:sz w:val="22"/>
          <w:szCs w:val="22"/>
        </w:rPr>
        <w:t xml:space="preserve"> (= Campaniforme)</w:t>
      </w:r>
    </w:p>
    <w:p w14:paraId="7C96909E" w14:textId="35E82C1B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-consolidation / 2200-800 </w:t>
      </w:r>
      <w:r w:rsidR="00E323B9" w:rsidRPr="00BB1093">
        <w:rPr>
          <w:sz w:val="22"/>
          <w:szCs w:val="22"/>
        </w:rPr>
        <w:t xml:space="preserve">av. J.-C. </w:t>
      </w:r>
      <w:r w:rsidRPr="00BB1093">
        <w:rPr>
          <w:sz w:val="22"/>
          <w:szCs w:val="22"/>
        </w:rPr>
        <w:t xml:space="preserve"> (= âge du Bronze)</w:t>
      </w:r>
    </w:p>
    <w:p w14:paraId="37370073" w14:textId="6EAE4A1C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-dislocation et isolement / 800-400</w:t>
      </w:r>
      <w:r w:rsidR="00E323B9" w:rsidRPr="00BB1093">
        <w:rPr>
          <w:sz w:val="22"/>
          <w:szCs w:val="22"/>
        </w:rPr>
        <w:t xml:space="preserve"> av. J.-C.</w:t>
      </w:r>
      <w:r w:rsidRPr="00BB1093">
        <w:rPr>
          <w:sz w:val="22"/>
          <w:szCs w:val="22"/>
        </w:rPr>
        <w:t xml:space="preserve"> (= Ier âge du Fer)</w:t>
      </w:r>
    </w:p>
    <w:p w14:paraId="5F98F481" w14:textId="77777777" w:rsidR="00D5001E" w:rsidRPr="00BB1093" w:rsidRDefault="00D5001E" w:rsidP="00EF1A35">
      <w:pPr>
        <w:jc w:val="both"/>
        <w:rPr>
          <w:b/>
          <w:bCs/>
          <w:sz w:val="22"/>
          <w:szCs w:val="22"/>
        </w:rPr>
      </w:pPr>
    </w:p>
    <w:p w14:paraId="09E8D135" w14:textId="16A106F0" w:rsidR="00D5001E" w:rsidRPr="00325C5F" w:rsidRDefault="00D5001E" w:rsidP="00EF1A35">
      <w:pPr>
        <w:jc w:val="both"/>
        <w:rPr>
          <w:sz w:val="22"/>
          <w:szCs w:val="22"/>
        </w:rPr>
      </w:pPr>
      <w:r w:rsidRPr="00BB1093">
        <w:rPr>
          <w:b/>
          <w:bCs/>
          <w:sz w:val="22"/>
          <w:szCs w:val="22"/>
        </w:rPr>
        <w:t xml:space="preserve">Doc. </w:t>
      </w:r>
      <w:r w:rsidRPr="00BB1093">
        <w:rPr>
          <w:sz w:val="22"/>
          <w:szCs w:val="22"/>
        </w:rPr>
        <w:t xml:space="preserve">Carte / </w:t>
      </w:r>
      <w:r w:rsidRPr="00325C5F">
        <w:rPr>
          <w:sz w:val="22"/>
          <w:szCs w:val="22"/>
        </w:rPr>
        <w:t>Néolithique -</w:t>
      </w:r>
    </w:p>
    <w:p w14:paraId="43AE97A6" w14:textId="30332DED" w:rsidR="00D5001E" w:rsidRPr="00BB1093" w:rsidRDefault="00D5001E" w:rsidP="00EF1A35">
      <w:pPr>
        <w:jc w:val="both"/>
        <w:rPr>
          <w:sz w:val="22"/>
          <w:szCs w:val="22"/>
        </w:rPr>
      </w:pPr>
      <w:proofErr w:type="spellStart"/>
      <w:r w:rsidRPr="00BB1093">
        <w:rPr>
          <w:sz w:val="22"/>
          <w:szCs w:val="22"/>
        </w:rPr>
        <w:t>Etablissement</w:t>
      </w:r>
      <w:proofErr w:type="spellEnd"/>
      <w:r w:rsidRPr="00BB1093">
        <w:rPr>
          <w:sz w:val="22"/>
          <w:szCs w:val="22"/>
        </w:rPr>
        <w:t xml:space="preserve"> de la connexion / 5000-2700 </w:t>
      </w:r>
      <w:r w:rsidR="006F1C54" w:rsidRPr="00BB1093">
        <w:rPr>
          <w:sz w:val="22"/>
          <w:szCs w:val="22"/>
        </w:rPr>
        <w:t>av. J.-C.</w:t>
      </w:r>
      <w:r w:rsidRPr="00BB1093">
        <w:rPr>
          <w:sz w:val="22"/>
          <w:szCs w:val="22"/>
        </w:rPr>
        <w:t xml:space="preserve"> (=</w:t>
      </w:r>
      <w:r w:rsidR="006F1C54" w:rsidRPr="00BB1093">
        <w:rPr>
          <w:sz w:val="22"/>
          <w:szCs w:val="22"/>
        </w:rPr>
        <w:t xml:space="preserve"> </w:t>
      </w:r>
      <w:r w:rsidRPr="00BB1093">
        <w:rPr>
          <w:sz w:val="22"/>
          <w:szCs w:val="22"/>
        </w:rPr>
        <w:t>néolithique) / diffusion de la domestication des animaux et de l’agriculture, par voie terrestre mais aussi par voie maritime ; diffusion des tombes à chambre et à couloir (mégalithes), depuis le sud de la péninsule Ibérique, via l’Armorique, puis en Irlande.</w:t>
      </w:r>
    </w:p>
    <w:p w14:paraId="1BFC9A64" w14:textId="77777777" w:rsidR="00D5001E" w:rsidRPr="00BB1093" w:rsidRDefault="00D5001E" w:rsidP="00EF1A35">
      <w:pPr>
        <w:jc w:val="both"/>
        <w:rPr>
          <w:sz w:val="22"/>
          <w:szCs w:val="22"/>
        </w:rPr>
      </w:pPr>
    </w:p>
    <w:p w14:paraId="44BBB50F" w14:textId="37F9F215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b/>
          <w:bCs/>
          <w:sz w:val="22"/>
          <w:szCs w:val="22"/>
        </w:rPr>
        <w:t xml:space="preserve">Doc. </w:t>
      </w:r>
      <w:r w:rsidRPr="00BB1093">
        <w:rPr>
          <w:sz w:val="22"/>
          <w:szCs w:val="22"/>
        </w:rPr>
        <w:t>Carte de répartition des haches en jadéite depuis leurs sources dans les Alpes occidentales = exemple d’extension des réseaux européens -</w:t>
      </w:r>
    </w:p>
    <w:p w14:paraId="701DEC45" w14:textId="7D13439E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Fabrication des haches en jadéite entre 4700 et 3800 </w:t>
      </w:r>
      <w:r w:rsidR="00DD42A8" w:rsidRPr="00BB1093">
        <w:rPr>
          <w:sz w:val="22"/>
          <w:szCs w:val="22"/>
        </w:rPr>
        <w:t>av. J.-C.</w:t>
      </w:r>
      <w:r w:rsidRPr="00BB1093">
        <w:rPr>
          <w:sz w:val="22"/>
          <w:szCs w:val="22"/>
        </w:rPr>
        <w:t>, avec une large distribution en Europe de l</w:t>
      </w:r>
      <w:r w:rsidR="002F31D3">
        <w:rPr>
          <w:sz w:val="22"/>
          <w:szCs w:val="22"/>
        </w:rPr>
        <w:t>’</w:t>
      </w:r>
      <w:r w:rsidRPr="00BB1093">
        <w:rPr>
          <w:sz w:val="22"/>
          <w:szCs w:val="22"/>
        </w:rPr>
        <w:t>ouest, jusqu</w:t>
      </w:r>
      <w:r w:rsidR="002F31D3">
        <w:rPr>
          <w:sz w:val="22"/>
          <w:szCs w:val="22"/>
        </w:rPr>
        <w:t>’au</w:t>
      </w:r>
      <w:r w:rsidRPr="00BB1093">
        <w:rPr>
          <w:sz w:val="22"/>
          <w:szCs w:val="22"/>
        </w:rPr>
        <w:t xml:space="preserve"> nord de l’Espagne, </w:t>
      </w:r>
      <w:r w:rsidR="002F31D3">
        <w:rPr>
          <w:sz w:val="22"/>
          <w:szCs w:val="22"/>
        </w:rPr>
        <w:t>jusque l’I</w:t>
      </w:r>
      <w:r w:rsidRPr="00BB1093">
        <w:rPr>
          <w:sz w:val="22"/>
          <w:szCs w:val="22"/>
        </w:rPr>
        <w:t xml:space="preserve">rlande, </w:t>
      </w:r>
      <w:r w:rsidR="002F31D3">
        <w:rPr>
          <w:sz w:val="22"/>
          <w:szCs w:val="22"/>
        </w:rPr>
        <w:t>jusque l’</w:t>
      </w:r>
      <w:r w:rsidRPr="00BB1093">
        <w:rPr>
          <w:sz w:val="22"/>
          <w:szCs w:val="22"/>
        </w:rPr>
        <w:t>Ecosse</w:t>
      </w:r>
      <w:r w:rsidR="00852CB5" w:rsidRPr="00BB1093">
        <w:rPr>
          <w:sz w:val="22"/>
          <w:szCs w:val="22"/>
        </w:rPr>
        <w:t>. D</w:t>
      </w:r>
      <w:r w:rsidRPr="00BB1093">
        <w:rPr>
          <w:sz w:val="22"/>
          <w:szCs w:val="22"/>
        </w:rPr>
        <w:t xml:space="preserve">es réseaux de connexion entre les communautés de l’ouest de l’Europe </w:t>
      </w:r>
      <w:r w:rsidR="00852CB5" w:rsidRPr="00BB1093">
        <w:rPr>
          <w:sz w:val="22"/>
          <w:szCs w:val="22"/>
        </w:rPr>
        <w:t>sont mis en évidence.</w:t>
      </w:r>
    </w:p>
    <w:p w14:paraId="46FDFB84" w14:textId="4F31E369" w:rsidR="00D5001E" w:rsidRPr="00BB1093" w:rsidRDefault="00D5001E" w:rsidP="00EF1A35">
      <w:pPr>
        <w:jc w:val="both"/>
        <w:rPr>
          <w:sz w:val="22"/>
          <w:szCs w:val="22"/>
        </w:rPr>
      </w:pP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 insiste sur la </w:t>
      </w:r>
      <w:r w:rsidRPr="00BB1093">
        <w:rPr>
          <w:i/>
          <w:iCs/>
          <w:sz w:val="22"/>
          <w:szCs w:val="22"/>
        </w:rPr>
        <w:t>longue durée</w:t>
      </w:r>
      <w:r w:rsidRPr="00BB1093">
        <w:rPr>
          <w:sz w:val="22"/>
          <w:szCs w:val="22"/>
        </w:rPr>
        <w:t xml:space="preserve"> de ces connexions, grâce à des réseaux partageant des caractéristiques culturelles </w:t>
      </w:r>
      <w:r w:rsidR="002F31D3">
        <w:rPr>
          <w:sz w:val="22"/>
          <w:szCs w:val="22"/>
        </w:rPr>
        <w:t>et</w:t>
      </w:r>
      <w:r w:rsidRPr="00BB1093">
        <w:rPr>
          <w:sz w:val="22"/>
          <w:szCs w:val="22"/>
        </w:rPr>
        <w:t xml:space="preserve"> des connaissances communes</w:t>
      </w:r>
      <w:r w:rsidR="002F31D3">
        <w:rPr>
          <w:sz w:val="22"/>
          <w:szCs w:val="22"/>
        </w:rPr>
        <w:t xml:space="preserve">. </w:t>
      </w:r>
    </w:p>
    <w:p w14:paraId="18A6D8E3" w14:textId="77777777" w:rsidR="00D5001E" w:rsidRPr="00BB1093" w:rsidRDefault="00D5001E" w:rsidP="00EF1A35">
      <w:pPr>
        <w:jc w:val="both"/>
        <w:rPr>
          <w:sz w:val="22"/>
          <w:szCs w:val="22"/>
        </w:rPr>
      </w:pPr>
    </w:p>
    <w:p w14:paraId="53DB3F73" w14:textId="0AC8EDE4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b/>
          <w:bCs/>
          <w:sz w:val="22"/>
          <w:szCs w:val="22"/>
        </w:rPr>
        <w:t xml:space="preserve">Doc. </w:t>
      </w:r>
      <w:r w:rsidRPr="00BB1093">
        <w:rPr>
          <w:sz w:val="22"/>
          <w:szCs w:val="22"/>
        </w:rPr>
        <w:t xml:space="preserve">Carte / </w:t>
      </w:r>
      <w:r w:rsidRPr="00325C5F">
        <w:rPr>
          <w:sz w:val="22"/>
          <w:szCs w:val="22"/>
        </w:rPr>
        <w:t>Les Campaniformes –</w:t>
      </w:r>
    </w:p>
    <w:p w14:paraId="31414D48" w14:textId="3515FC0A" w:rsidR="00D5001E" w:rsidRPr="00BB1093" w:rsidRDefault="00B85413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B. </w:t>
      </w:r>
      <w:proofErr w:type="spellStart"/>
      <w:r w:rsidR="00D5001E" w:rsidRPr="00BB1093">
        <w:rPr>
          <w:sz w:val="22"/>
          <w:szCs w:val="22"/>
        </w:rPr>
        <w:t>Cunliffe</w:t>
      </w:r>
      <w:proofErr w:type="spellEnd"/>
      <w:r w:rsidR="00D5001E" w:rsidRPr="00BB1093">
        <w:rPr>
          <w:sz w:val="22"/>
          <w:szCs w:val="22"/>
        </w:rPr>
        <w:t xml:space="preserve"> </w:t>
      </w:r>
      <w:r w:rsidRPr="00BB1093">
        <w:rPr>
          <w:sz w:val="22"/>
          <w:szCs w:val="22"/>
        </w:rPr>
        <w:t>insiste ensuite sur</w:t>
      </w:r>
      <w:r w:rsidR="00D5001E" w:rsidRPr="00BB1093">
        <w:rPr>
          <w:sz w:val="22"/>
          <w:szCs w:val="22"/>
        </w:rPr>
        <w:t xml:space="preserve"> les changements, qui </w:t>
      </w:r>
      <w:r w:rsidRPr="00BB1093">
        <w:rPr>
          <w:sz w:val="22"/>
          <w:szCs w:val="22"/>
        </w:rPr>
        <w:t xml:space="preserve">ont </w:t>
      </w:r>
      <w:r w:rsidR="00D5001E" w:rsidRPr="00BB1093">
        <w:rPr>
          <w:sz w:val="22"/>
          <w:szCs w:val="22"/>
        </w:rPr>
        <w:t>marqu</w:t>
      </w:r>
      <w:r w:rsidRPr="00BB1093">
        <w:rPr>
          <w:sz w:val="22"/>
          <w:szCs w:val="22"/>
        </w:rPr>
        <w:t>é</w:t>
      </w:r>
      <w:r w:rsidR="00D5001E" w:rsidRPr="00BB1093">
        <w:rPr>
          <w:sz w:val="22"/>
          <w:szCs w:val="22"/>
        </w:rPr>
        <w:t xml:space="preserve"> les cultures d’Europe centrale et orientale </w:t>
      </w:r>
      <w:r w:rsidRPr="00BB1093">
        <w:rPr>
          <w:sz w:val="22"/>
          <w:szCs w:val="22"/>
        </w:rPr>
        <w:t xml:space="preserve">avec les </w:t>
      </w:r>
      <w:r w:rsidR="00D5001E" w:rsidRPr="00BB1093">
        <w:rPr>
          <w:sz w:val="22"/>
          <w:szCs w:val="22"/>
        </w:rPr>
        <w:t xml:space="preserve">intrusions possibles de peuples nomades </w:t>
      </w:r>
      <w:r w:rsidRPr="00BB1093">
        <w:rPr>
          <w:sz w:val="22"/>
          <w:szCs w:val="22"/>
        </w:rPr>
        <w:t xml:space="preserve">venus </w:t>
      </w:r>
      <w:r w:rsidR="00D5001E" w:rsidRPr="00BB1093">
        <w:rPr>
          <w:sz w:val="22"/>
          <w:szCs w:val="22"/>
        </w:rPr>
        <w:t>des steppes dans la Grande plaine hongroise et dans le bassin des Carpates</w:t>
      </w:r>
      <w:r w:rsidRPr="00BB1093">
        <w:rPr>
          <w:sz w:val="22"/>
          <w:szCs w:val="22"/>
        </w:rPr>
        <w:t>, la période correspondant au</w:t>
      </w:r>
      <w:r w:rsidR="00D5001E" w:rsidRPr="00BB1093">
        <w:rPr>
          <w:sz w:val="22"/>
          <w:szCs w:val="22"/>
        </w:rPr>
        <w:t xml:space="preserve"> milieu du IIIe </w:t>
      </w:r>
      <w:r w:rsidRPr="00BB1093">
        <w:rPr>
          <w:sz w:val="22"/>
          <w:szCs w:val="22"/>
        </w:rPr>
        <w:t>millénaire av. J.-C. ayant été</w:t>
      </w:r>
      <w:r w:rsidR="00D5001E" w:rsidRPr="00BB1093">
        <w:rPr>
          <w:sz w:val="22"/>
          <w:szCs w:val="22"/>
        </w:rPr>
        <w:t xml:space="preserve"> une phase d’échanges intenses.</w:t>
      </w:r>
    </w:p>
    <w:p w14:paraId="313E8ED6" w14:textId="77777777" w:rsidR="00D5001E" w:rsidRPr="00BB1093" w:rsidRDefault="00D5001E" w:rsidP="00EF1A35">
      <w:pPr>
        <w:jc w:val="both"/>
        <w:rPr>
          <w:sz w:val="22"/>
          <w:szCs w:val="22"/>
        </w:rPr>
      </w:pPr>
    </w:p>
    <w:p w14:paraId="21E34E43" w14:textId="73626DE3" w:rsidR="00D5001E" w:rsidRPr="00BB1093" w:rsidRDefault="00B85413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Pour B. 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, </w:t>
      </w:r>
      <w:r w:rsidR="00000ADF">
        <w:rPr>
          <w:sz w:val="22"/>
          <w:szCs w:val="22"/>
        </w:rPr>
        <w:t xml:space="preserve">la période de </w:t>
      </w:r>
      <w:r w:rsidRPr="00BB1093">
        <w:rPr>
          <w:sz w:val="22"/>
          <w:szCs w:val="22"/>
        </w:rPr>
        <w:t>l’</w:t>
      </w:r>
      <w:r w:rsidR="00D5001E" w:rsidRPr="00BB1093">
        <w:rPr>
          <w:sz w:val="22"/>
          <w:szCs w:val="22"/>
        </w:rPr>
        <w:t xml:space="preserve">âge du Bronze et </w:t>
      </w:r>
      <w:r w:rsidR="00000ADF">
        <w:rPr>
          <w:sz w:val="22"/>
          <w:szCs w:val="22"/>
        </w:rPr>
        <w:t>du</w:t>
      </w:r>
      <w:r w:rsidRPr="00BB1093">
        <w:rPr>
          <w:sz w:val="22"/>
          <w:szCs w:val="22"/>
        </w:rPr>
        <w:t xml:space="preserve"> </w:t>
      </w:r>
      <w:r w:rsidR="00D5001E" w:rsidRPr="00BB1093">
        <w:rPr>
          <w:sz w:val="22"/>
          <w:szCs w:val="22"/>
        </w:rPr>
        <w:t>Ier âge du Fer</w:t>
      </w:r>
      <w:r w:rsidRPr="00BB1093">
        <w:rPr>
          <w:sz w:val="22"/>
          <w:szCs w:val="22"/>
        </w:rPr>
        <w:t xml:space="preserve"> (2200-800 av. J.-C.) correspond à une période de</w:t>
      </w:r>
      <w:r w:rsidR="00D5001E" w:rsidRPr="00BB1093">
        <w:rPr>
          <w:sz w:val="22"/>
          <w:szCs w:val="22"/>
        </w:rPr>
        <w:t xml:space="preserve"> consolidation.</w:t>
      </w:r>
      <w:r w:rsidRPr="00BB1093">
        <w:rPr>
          <w:sz w:val="22"/>
          <w:szCs w:val="22"/>
        </w:rPr>
        <w:t xml:space="preserve"> L</w:t>
      </w:r>
      <w:r w:rsidR="00D5001E" w:rsidRPr="00BB1093">
        <w:rPr>
          <w:sz w:val="22"/>
          <w:szCs w:val="22"/>
        </w:rPr>
        <w:t>es communautés cré</w:t>
      </w:r>
      <w:r w:rsidRPr="00BB1093">
        <w:rPr>
          <w:sz w:val="22"/>
          <w:szCs w:val="22"/>
        </w:rPr>
        <w:t>e</w:t>
      </w:r>
      <w:r w:rsidR="00D5001E" w:rsidRPr="00BB1093">
        <w:rPr>
          <w:sz w:val="22"/>
          <w:szCs w:val="22"/>
        </w:rPr>
        <w:t>nt des liens sociaux plus étroits, impliquant le déplacement/la circulation des personnes, à travers le mariage et autres obligations maintenant la cohésion entre lignages.</w:t>
      </w:r>
    </w:p>
    <w:p w14:paraId="70740BA1" w14:textId="31F692F2" w:rsidR="00D5001E" w:rsidRPr="00BB1093" w:rsidRDefault="00D5001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Selon </w:t>
      </w:r>
      <w:r w:rsidR="00000ADF">
        <w:rPr>
          <w:sz w:val="22"/>
          <w:szCs w:val="22"/>
        </w:rPr>
        <w:t xml:space="preserve">B. 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, ces réseaux ont basculé vers 800 </w:t>
      </w:r>
      <w:r w:rsidR="00B85413" w:rsidRPr="00BB1093">
        <w:rPr>
          <w:sz w:val="22"/>
          <w:szCs w:val="22"/>
        </w:rPr>
        <w:t>av. J.-C.</w:t>
      </w:r>
      <w:r w:rsidRPr="00BB1093">
        <w:rPr>
          <w:sz w:val="22"/>
          <w:szCs w:val="22"/>
        </w:rPr>
        <w:t>, le vieux système ayant péri pour être remplacé par un/des systèmes différents, fondés sur l’urbanisation – des phénomènes culturels nouveaux, qui se développent dans des zones géographiques différentes (Europe centrale, est de la France).</w:t>
      </w:r>
    </w:p>
    <w:p w14:paraId="3A97B83F" w14:textId="5CF6EF0D" w:rsidR="00D5001E" w:rsidRPr="00BB1093" w:rsidRDefault="00000ADF" w:rsidP="00EF1A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proofErr w:type="spellStart"/>
      <w:r w:rsidR="00D5001E" w:rsidRPr="00BB1093">
        <w:rPr>
          <w:sz w:val="22"/>
          <w:szCs w:val="22"/>
        </w:rPr>
        <w:t>Cunliffe</w:t>
      </w:r>
      <w:proofErr w:type="spellEnd"/>
      <w:r w:rsidR="00D5001E" w:rsidRPr="00BB1093">
        <w:rPr>
          <w:sz w:val="22"/>
          <w:szCs w:val="22"/>
        </w:rPr>
        <w:t xml:space="preserve"> note que la G</w:t>
      </w:r>
      <w:r w:rsidR="00B85413" w:rsidRPr="00BB1093">
        <w:rPr>
          <w:sz w:val="22"/>
          <w:szCs w:val="22"/>
        </w:rPr>
        <w:t>rande-</w:t>
      </w:r>
      <w:r w:rsidR="00D5001E" w:rsidRPr="00BB1093">
        <w:rPr>
          <w:sz w:val="22"/>
          <w:szCs w:val="22"/>
        </w:rPr>
        <w:t>B</w:t>
      </w:r>
      <w:r w:rsidR="00B85413" w:rsidRPr="00BB1093">
        <w:rPr>
          <w:sz w:val="22"/>
          <w:szCs w:val="22"/>
        </w:rPr>
        <w:t>retagne</w:t>
      </w:r>
      <w:r w:rsidR="00D5001E" w:rsidRPr="00BB1093">
        <w:rPr>
          <w:sz w:val="22"/>
          <w:szCs w:val="22"/>
        </w:rPr>
        <w:t xml:space="preserve"> et l’Irlande restent dans les réseaux, mais qu’entre 500</w:t>
      </w:r>
      <w:r w:rsidR="00BB1093" w:rsidRPr="00BB1093">
        <w:rPr>
          <w:sz w:val="22"/>
          <w:szCs w:val="22"/>
        </w:rPr>
        <w:t xml:space="preserve"> av. J.-C.</w:t>
      </w:r>
      <w:r w:rsidR="00D5001E" w:rsidRPr="00BB1093">
        <w:rPr>
          <w:sz w:val="22"/>
          <w:szCs w:val="22"/>
        </w:rPr>
        <w:t xml:space="preserve"> et le Ier s</w:t>
      </w:r>
      <w:r w:rsidR="00BB1093" w:rsidRPr="00BB1093">
        <w:rPr>
          <w:sz w:val="22"/>
          <w:szCs w:val="22"/>
        </w:rPr>
        <w:t>iècle</w:t>
      </w:r>
      <w:r w:rsidR="00D5001E" w:rsidRPr="00BB1093">
        <w:rPr>
          <w:sz w:val="22"/>
          <w:szCs w:val="22"/>
        </w:rPr>
        <w:t xml:space="preserve"> </w:t>
      </w:r>
      <w:r w:rsidR="00B85413" w:rsidRPr="00BB1093">
        <w:rPr>
          <w:sz w:val="22"/>
          <w:szCs w:val="22"/>
        </w:rPr>
        <w:t>av.</w:t>
      </w:r>
      <w:r w:rsidR="00DD42A8" w:rsidRPr="00BB1093">
        <w:rPr>
          <w:sz w:val="22"/>
          <w:szCs w:val="22"/>
        </w:rPr>
        <w:t xml:space="preserve"> J</w:t>
      </w:r>
      <w:r w:rsidR="00B85413" w:rsidRPr="00BB1093">
        <w:rPr>
          <w:sz w:val="22"/>
          <w:szCs w:val="22"/>
        </w:rPr>
        <w:t>.-C.</w:t>
      </w:r>
      <w:r w:rsidR="00D5001E" w:rsidRPr="00BB1093">
        <w:rPr>
          <w:sz w:val="22"/>
          <w:szCs w:val="22"/>
        </w:rPr>
        <w:t>, l’Irlande semble en-dehors des réseaux.</w:t>
      </w:r>
    </w:p>
    <w:p w14:paraId="69841C21" w14:textId="77777777" w:rsidR="00D5001E" w:rsidRPr="00BB1093" w:rsidRDefault="00D5001E" w:rsidP="00EF1A35">
      <w:pPr>
        <w:jc w:val="both"/>
        <w:rPr>
          <w:sz w:val="22"/>
          <w:szCs w:val="22"/>
        </w:rPr>
      </w:pPr>
    </w:p>
    <w:p w14:paraId="5EC8BC88" w14:textId="3C5159EC" w:rsidR="00D5001E" w:rsidRDefault="00B85413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En démontrant</w:t>
      </w:r>
      <w:r w:rsidR="00D5001E" w:rsidRPr="00BB1093">
        <w:rPr>
          <w:sz w:val="22"/>
          <w:szCs w:val="22"/>
        </w:rPr>
        <w:t xml:space="preserve"> la vitalité des zones </w:t>
      </w:r>
      <w:r w:rsidRPr="00BB1093">
        <w:rPr>
          <w:sz w:val="22"/>
          <w:szCs w:val="22"/>
        </w:rPr>
        <w:t>a</w:t>
      </w:r>
      <w:r w:rsidR="00D5001E" w:rsidRPr="00BB1093">
        <w:rPr>
          <w:sz w:val="22"/>
          <w:szCs w:val="22"/>
        </w:rPr>
        <w:t>tlantiques depuis les VIe-Ve mill</w:t>
      </w:r>
      <w:r w:rsidRPr="00BB1093">
        <w:rPr>
          <w:sz w:val="22"/>
          <w:szCs w:val="22"/>
        </w:rPr>
        <w:t>énaires</w:t>
      </w:r>
      <w:r w:rsidR="00D5001E" w:rsidRPr="00BB1093">
        <w:rPr>
          <w:sz w:val="22"/>
          <w:szCs w:val="22"/>
        </w:rPr>
        <w:t xml:space="preserve"> </w:t>
      </w:r>
      <w:r w:rsidRPr="00BB1093">
        <w:rPr>
          <w:sz w:val="22"/>
          <w:szCs w:val="22"/>
        </w:rPr>
        <w:t>av. J.-C.</w:t>
      </w:r>
      <w:r w:rsidR="00D5001E" w:rsidRPr="00BB1093">
        <w:rPr>
          <w:sz w:val="22"/>
          <w:szCs w:val="22"/>
        </w:rPr>
        <w:t xml:space="preserve">, </w:t>
      </w:r>
      <w:r w:rsidRPr="00BB1093">
        <w:rPr>
          <w:sz w:val="22"/>
          <w:szCs w:val="22"/>
        </w:rPr>
        <w:t xml:space="preserve">B. </w:t>
      </w:r>
      <w:proofErr w:type="spellStart"/>
      <w:r w:rsidRPr="00BB1093">
        <w:rPr>
          <w:sz w:val="22"/>
          <w:szCs w:val="22"/>
        </w:rPr>
        <w:t>Cunliffe</w:t>
      </w:r>
      <w:proofErr w:type="spellEnd"/>
      <w:r w:rsidRPr="00BB1093">
        <w:rPr>
          <w:sz w:val="22"/>
          <w:szCs w:val="22"/>
        </w:rPr>
        <w:t xml:space="preserve"> valide l’hypothèse de </w:t>
      </w:r>
      <w:r w:rsidR="00D5001E" w:rsidRPr="00BB1093">
        <w:rPr>
          <w:sz w:val="22"/>
          <w:szCs w:val="22"/>
        </w:rPr>
        <w:t>l’antériorité des Celtes dans l’ouest de l’Europe.</w:t>
      </w:r>
    </w:p>
    <w:p w14:paraId="3E7E303A" w14:textId="77777777" w:rsidR="00000ADF" w:rsidRDefault="00000ADF" w:rsidP="00EF1A35">
      <w:pPr>
        <w:jc w:val="both"/>
        <w:rPr>
          <w:sz w:val="22"/>
          <w:szCs w:val="22"/>
        </w:rPr>
      </w:pPr>
    </w:p>
    <w:p w14:paraId="2F084E0F" w14:textId="0F738273" w:rsidR="00000ADF" w:rsidRPr="00F768A6" w:rsidRDefault="00000ADF" w:rsidP="00EF1A35">
      <w:pPr>
        <w:jc w:val="both"/>
        <w:rPr>
          <w:sz w:val="22"/>
          <w:szCs w:val="22"/>
          <w:lang w:val="en-US"/>
        </w:rPr>
      </w:pPr>
      <w:r w:rsidRPr="00F768A6">
        <w:rPr>
          <w:i/>
          <w:iCs/>
          <w:sz w:val="22"/>
          <w:szCs w:val="22"/>
          <w:lang w:val="en-US"/>
        </w:rPr>
        <w:t xml:space="preserve">Pour </w:t>
      </w:r>
      <w:proofErr w:type="spellStart"/>
      <w:r w:rsidRPr="00F768A6">
        <w:rPr>
          <w:i/>
          <w:iCs/>
          <w:sz w:val="22"/>
          <w:szCs w:val="22"/>
          <w:lang w:val="en-US"/>
        </w:rPr>
        <w:t>compléter</w:t>
      </w:r>
      <w:proofErr w:type="spellEnd"/>
      <w:r w:rsidRPr="00F768A6">
        <w:rPr>
          <w:sz w:val="22"/>
          <w:szCs w:val="22"/>
          <w:lang w:val="en-US"/>
        </w:rPr>
        <w:t> :</w:t>
      </w:r>
    </w:p>
    <w:p w14:paraId="4ED6205E" w14:textId="4DD95FA5" w:rsidR="00000ADF" w:rsidRPr="00000ADF" w:rsidRDefault="00000ADF" w:rsidP="00EF1A35">
      <w:pPr>
        <w:jc w:val="both"/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</w:pPr>
      <w:r w:rsidRPr="00000ADF">
        <w:rPr>
          <w:rStyle w:val="Aucun"/>
          <w:rFonts w:eastAsia="MS Mincho"/>
          <w:sz w:val="22"/>
          <w:szCs w:val="22"/>
          <w:lang w:val="de-DE"/>
        </w:rPr>
        <w:t xml:space="preserve">Sims-Williams P., </w:t>
      </w:r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 xml:space="preserve">« The Location of the Celts according to </w:t>
      </w:r>
      <w:proofErr w:type="spellStart"/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>Hecataeus</w:t>
      </w:r>
      <w:proofErr w:type="spellEnd"/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 xml:space="preserve">, Herodotus, and other Greek Writers », </w:t>
      </w:r>
      <w:r w:rsidRPr="00000ADF">
        <w:rPr>
          <w:rStyle w:val="Aucun"/>
          <w:rFonts w:eastAsia="MS Mincho"/>
          <w:i/>
          <w:color w:val="444444"/>
          <w:sz w:val="22"/>
          <w:szCs w:val="22"/>
          <w:u w:color="444444"/>
          <w:shd w:val="clear" w:color="auto" w:fill="FFFFFF"/>
          <w:lang w:val="en-US"/>
        </w:rPr>
        <w:t xml:space="preserve">Etudes </w:t>
      </w:r>
      <w:proofErr w:type="spellStart"/>
      <w:r w:rsidRPr="00000ADF">
        <w:rPr>
          <w:rStyle w:val="Aucun"/>
          <w:rFonts w:eastAsia="MS Mincho"/>
          <w:i/>
          <w:color w:val="444444"/>
          <w:sz w:val="22"/>
          <w:szCs w:val="22"/>
          <w:u w:color="444444"/>
          <w:shd w:val="clear" w:color="auto" w:fill="FFFFFF"/>
          <w:lang w:val="en-US"/>
        </w:rPr>
        <w:t>Celtiques</w:t>
      </w:r>
      <w:proofErr w:type="spellEnd"/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 xml:space="preserve"> XLII, 2016, 7-32.</w:t>
      </w:r>
    </w:p>
    <w:p w14:paraId="173151CD" w14:textId="33AA174C" w:rsidR="00000ADF" w:rsidRPr="00000ADF" w:rsidRDefault="00000ADF" w:rsidP="00EF1A35">
      <w:pPr>
        <w:jc w:val="both"/>
        <w:rPr>
          <w:sz w:val="22"/>
          <w:szCs w:val="22"/>
          <w:lang w:val="en-US"/>
        </w:rPr>
      </w:pPr>
      <w:r w:rsidRPr="00000ADF">
        <w:rPr>
          <w:rStyle w:val="Aucun"/>
          <w:rFonts w:eastAsia="MS Mincho"/>
          <w:sz w:val="22"/>
          <w:szCs w:val="22"/>
          <w:lang w:val="en-US"/>
        </w:rPr>
        <w:t xml:space="preserve">Sims-Williams P., </w:t>
      </w:r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>« </w:t>
      </w:r>
      <w:r w:rsidRPr="00000ADF">
        <w:rPr>
          <w:rStyle w:val="Aucun"/>
          <w:rFonts w:eastAsia="MS Mincho"/>
          <w:sz w:val="22"/>
          <w:szCs w:val="22"/>
          <w:lang w:val="en-US"/>
        </w:rPr>
        <w:t>An Alternative to "Celtic from the East" and "Celtic from the West"</w:t>
      </w:r>
      <w:r w:rsidRPr="00000ADF">
        <w:rPr>
          <w:rStyle w:val="Aucun"/>
          <w:rFonts w:eastAsia="MS Mincho"/>
          <w:color w:val="444444"/>
          <w:sz w:val="22"/>
          <w:szCs w:val="22"/>
          <w:u w:color="444444"/>
          <w:shd w:val="clear" w:color="auto" w:fill="FFFFFF"/>
          <w:lang w:val="en-US"/>
        </w:rPr>
        <w:t xml:space="preserve"> »</w:t>
      </w:r>
      <w:r w:rsidRPr="00000ADF">
        <w:rPr>
          <w:rStyle w:val="Aucun"/>
          <w:rFonts w:eastAsia="MS Mincho"/>
          <w:sz w:val="22"/>
          <w:szCs w:val="22"/>
          <w:lang w:val="en-US"/>
        </w:rPr>
        <w:t xml:space="preserve">, in </w:t>
      </w:r>
      <w:r w:rsidRPr="00000ADF">
        <w:rPr>
          <w:rStyle w:val="Aucun"/>
          <w:rFonts w:eastAsia="MS Mincho"/>
          <w:i/>
          <w:iCs/>
          <w:sz w:val="22"/>
          <w:szCs w:val="22"/>
          <w:lang w:val="en-US"/>
        </w:rPr>
        <w:t>Cambridge Archaeological Journal</w:t>
      </w:r>
      <w:r w:rsidRPr="00000ADF">
        <w:rPr>
          <w:rStyle w:val="Aucun"/>
          <w:rFonts w:eastAsia="MS Mincho"/>
          <w:sz w:val="22"/>
          <w:szCs w:val="22"/>
          <w:lang w:val="en-US"/>
        </w:rPr>
        <w:t xml:space="preserve"> 30-3, 2020, 511-529.</w:t>
      </w:r>
    </w:p>
    <w:p w14:paraId="4C237614" w14:textId="5F14F282" w:rsidR="00D5001E" w:rsidRPr="00000ADF" w:rsidRDefault="00D5001E" w:rsidP="00EF1A35">
      <w:pPr>
        <w:jc w:val="both"/>
        <w:rPr>
          <w:sz w:val="22"/>
          <w:szCs w:val="22"/>
          <w:lang w:val="en-US"/>
        </w:rPr>
      </w:pPr>
    </w:p>
    <w:p w14:paraId="41A856E5" w14:textId="42BFF95A" w:rsidR="00B85413" w:rsidRPr="00000ADF" w:rsidRDefault="00B85413" w:rsidP="00EF1A35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 </w:t>
      </w:r>
    </w:p>
    <w:p w14:paraId="0775B370" w14:textId="77777777" w:rsidR="00D5001E" w:rsidRPr="00000ADF" w:rsidRDefault="00D5001E" w:rsidP="00EF1A35">
      <w:pPr>
        <w:jc w:val="both"/>
        <w:rPr>
          <w:sz w:val="22"/>
          <w:szCs w:val="22"/>
          <w:lang w:val="en-US"/>
        </w:rPr>
      </w:pPr>
    </w:p>
    <w:p w14:paraId="663116DD" w14:textId="499D7BBF" w:rsidR="00D5001E" w:rsidRPr="00BB1093" w:rsidRDefault="00B85413" w:rsidP="00EF1A35">
      <w:pPr>
        <w:jc w:val="both"/>
        <w:rPr>
          <w:sz w:val="22"/>
          <w:szCs w:val="22"/>
        </w:rPr>
      </w:pPr>
      <w:r w:rsidRPr="00BB1093">
        <w:rPr>
          <w:b/>
          <w:bCs/>
          <w:sz w:val="22"/>
          <w:szCs w:val="22"/>
        </w:rPr>
        <w:t>CM</w:t>
      </w:r>
      <w:r w:rsidR="00C65651">
        <w:rPr>
          <w:b/>
          <w:bCs/>
          <w:sz w:val="22"/>
          <w:szCs w:val="22"/>
        </w:rPr>
        <w:t>5</w:t>
      </w:r>
      <w:r w:rsidRPr="00BB1093">
        <w:rPr>
          <w:sz w:val="22"/>
          <w:szCs w:val="22"/>
        </w:rPr>
        <w:t xml:space="preserve"> – </w:t>
      </w:r>
      <w:r w:rsidRPr="00E23E6D">
        <w:rPr>
          <w:b/>
          <w:bCs/>
          <w:sz w:val="22"/>
          <w:szCs w:val="22"/>
        </w:rPr>
        <w:t>Les Celtes dans le grand public</w:t>
      </w:r>
      <w:r w:rsidR="00F248E4" w:rsidRPr="00BB1093">
        <w:rPr>
          <w:sz w:val="22"/>
          <w:szCs w:val="22"/>
        </w:rPr>
        <w:t xml:space="preserve">. L’exemple de la revue </w:t>
      </w:r>
      <w:r w:rsidR="00F248E4" w:rsidRPr="00BB1093">
        <w:rPr>
          <w:i/>
          <w:iCs/>
          <w:sz w:val="22"/>
          <w:szCs w:val="22"/>
        </w:rPr>
        <w:t>Les Cahiers Science &amp; Vie</w:t>
      </w:r>
      <w:r w:rsidR="00113C8A" w:rsidRPr="00BB1093">
        <w:rPr>
          <w:sz w:val="22"/>
          <w:szCs w:val="22"/>
        </w:rPr>
        <w:t xml:space="preserve">, cf. Les Celtes. Origine, histoire, héritage, </w:t>
      </w:r>
      <w:r w:rsidR="00113C8A" w:rsidRPr="00BB1093">
        <w:rPr>
          <w:i/>
          <w:iCs/>
          <w:sz w:val="22"/>
          <w:szCs w:val="22"/>
        </w:rPr>
        <w:t>Les Cahiers Science &amp; Vie,</w:t>
      </w:r>
      <w:r w:rsidR="00113C8A" w:rsidRPr="00BB1093">
        <w:rPr>
          <w:sz w:val="22"/>
          <w:szCs w:val="22"/>
        </w:rPr>
        <w:t xml:space="preserve"> n °146, juillet, 2014.</w:t>
      </w:r>
    </w:p>
    <w:p w14:paraId="6937B920" w14:textId="72CA3152" w:rsidR="0060493E" w:rsidRPr="00BB1093" w:rsidRDefault="0060493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Le dossier débute par une présentation détaillée dédiée à la « Dame de Vix » </w:t>
      </w:r>
      <w:r w:rsidR="00BB1093" w:rsidRPr="00BB1093">
        <w:rPr>
          <w:sz w:val="22"/>
          <w:szCs w:val="22"/>
        </w:rPr>
        <w:t>(fin du VIe siècle av. J.-C.), dans le Châtillonnais (nord de la Côte d’Or), au pied du Mont Lassois, qui domine la Seine</w:t>
      </w:r>
      <w:r w:rsidRPr="00BB1093">
        <w:rPr>
          <w:sz w:val="22"/>
          <w:szCs w:val="22"/>
        </w:rPr>
        <w:t xml:space="preserve">, puis suit un interview d’Olivier </w:t>
      </w:r>
      <w:proofErr w:type="spellStart"/>
      <w:r w:rsidRPr="00BB1093">
        <w:rPr>
          <w:sz w:val="22"/>
          <w:szCs w:val="22"/>
        </w:rPr>
        <w:t>Buchsenchutz</w:t>
      </w:r>
      <w:proofErr w:type="spellEnd"/>
      <w:r w:rsidRPr="00BB1093">
        <w:rPr>
          <w:sz w:val="22"/>
          <w:szCs w:val="22"/>
        </w:rPr>
        <w:t xml:space="preserve"> (directeur de recherche, CNRS), intitulé « les Celtes ne sont plus considérés comme des barbares ».</w:t>
      </w:r>
    </w:p>
    <w:p w14:paraId="60E9E2A4" w14:textId="77777777" w:rsidR="0060493E" w:rsidRPr="00BB1093" w:rsidRDefault="0060493E" w:rsidP="00EF1A35">
      <w:pPr>
        <w:jc w:val="both"/>
        <w:rPr>
          <w:sz w:val="22"/>
          <w:szCs w:val="22"/>
        </w:rPr>
      </w:pPr>
    </w:p>
    <w:p w14:paraId="7C450414" w14:textId="51D3059B" w:rsidR="0060493E" w:rsidRPr="00BB1093" w:rsidRDefault="0060493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Les informations sont organisées en quatre parties :</w:t>
      </w:r>
    </w:p>
    <w:p w14:paraId="1242DB0D" w14:textId="121C5034" w:rsidR="0060493E" w:rsidRPr="00BB1093" w:rsidRDefault="0060493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1. </w:t>
      </w:r>
      <w:r w:rsidRPr="00BB1093">
        <w:rPr>
          <w:sz w:val="22"/>
          <w:szCs w:val="22"/>
          <w:u w:val="single"/>
        </w:rPr>
        <w:t>Qui sont les Celtes ?</w:t>
      </w:r>
      <w:r w:rsidR="00ED64AA" w:rsidRPr="00BB1093">
        <w:rPr>
          <w:sz w:val="22"/>
          <w:szCs w:val="22"/>
        </w:rPr>
        <w:t xml:space="preserve"> -</w:t>
      </w:r>
    </w:p>
    <w:p w14:paraId="323B7724" w14:textId="76FBC240" w:rsidR="002614E6" w:rsidRPr="00BB1093" w:rsidRDefault="002614E6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>L’âge du Fer est présenté comme étant indissociable des Celtes, réputés pour leur savoir-faire métallurgique. Le fer est utilisé pour fabriquer des armes et des outils. L’usage du fer aura des conséquences économiques très fortes.</w:t>
      </w:r>
    </w:p>
    <w:p w14:paraId="04296BA8" w14:textId="60BC7E7E" w:rsidR="002614E6" w:rsidRPr="00BB1093" w:rsidRDefault="002614E6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Une carte associe les données issues des sources écrites antiques grecques et latines et celles issues de l’archéologie (IIe âge du Fer) et </w:t>
      </w:r>
      <w:r w:rsidR="00ED64AA" w:rsidRPr="00BB1093">
        <w:rPr>
          <w:sz w:val="22"/>
          <w:szCs w:val="22"/>
        </w:rPr>
        <w:t>rappelle les mouvements migratoires, au IVe siècle av. J.-C., en direction de l’Italie avec la prise de Rome en 390 av. J.-C. et, au siècle suivant, en direction des Balkans, avec la prise de Delphes en 279 av. J.-C., puis jusqu’en Asie mineure (fondation du royaume des Galates en Anatolie).</w:t>
      </w:r>
    </w:p>
    <w:p w14:paraId="4EF73510" w14:textId="77777777" w:rsidR="0060493E" w:rsidRPr="00BB1093" w:rsidRDefault="0060493E" w:rsidP="00EF1A35">
      <w:pPr>
        <w:jc w:val="both"/>
        <w:rPr>
          <w:sz w:val="22"/>
          <w:szCs w:val="22"/>
        </w:rPr>
      </w:pPr>
    </w:p>
    <w:p w14:paraId="280BD79D" w14:textId="3F9ECF06" w:rsidR="0060493E" w:rsidRPr="00BB1093" w:rsidRDefault="0060493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lastRenderedPageBreak/>
        <w:t xml:space="preserve">2. </w:t>
      </w:r>
      <w:r w:rsidRPr="00BB1093">
        <w:rPr>
          <w:sz w:val="22"/>
          <w:szCs w:val="22"/>
          <w:u w:val="single"/>
        </w:rPr>
        <w:t>Culture et religion</w:t>
      </w:r>
      <w:r w:rsidRPr="00BB1093">
        <w:rPr>
          <w:sz w:val="22"/>
          <w:szCs w:val="22"/>
        </w:rPr>
        <w:t> </w:t>
      </w:r>
      <w:r w:rsidR="00ED64AA" w:rsidRPr="00BB1093">
        <w:rPr>
          <w:sz w:val="22"/>
          <w:szCs w:val="22"/>
        </w:rPr>
        <w:t>–</w:t>
      </w:r>
    </w:p>
    <w:p w14:paraId="73420DD9" w14:textId="50DB9E82" w:rsidR="0060493E" w:rsidRPr="00BB1093" w:rsidRDefault="00ED64AA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 Si « La religion celte est un terreau fertile pour l’imagination » (p. 45), les données récentes de l’archéologie ont considérablement renouvelé les connaissances.</w:t>
      </w:r>
    </w:p>
    <w:p w14:paraId="48C7020A" w14:textId="3FEF6EEE" w:rsidR="00ED64AA" w:rsidRPr="00BB1093" w:rsidRDefault="00ED64AA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Est adjoint le « musée imaginaire » </w:t>
      </w:r>
      <w:r w:rsidR="009E0AEC" w:rsidRPr="00BB1093">
        <w:rPr>
          <w:sz w:val="22"/>
          <w:szCs w:val="22"/>
        </w:rPr>
        <w:t xml:space="preserve">représentant la créativité celte selon </w:t>
      </w:r>
      <w:r w:rsidRPr="00BB1093">
        <w:rPr>
          <w:sz w:val="22"/>
          <w:szCs w:val="22"/>
        </w:rPr>
        <w:t xml:space="preserve">T. </w:t>
      </w:r>
      <w:proofErr w:type="spellStart"/>
      <w:r w:rsidRPr="00BB1093">
        <w:rPr>
          <w:sz w:val="22"/>
          <w:szCs w:val="22"/>
        </w:rPr>
        <w:t>Lejars</w:t>
      </w:r>
      <w:proofErr w:type="spellEnd"/>
      <w:r w:rsidR="009E0AEC" w:rsidRPr="00BB1093">
        <w:rPr>
          <w:sz w:val="22"/>
          <w:szCs w:val="22"/>
        </w:rPr>
        <w:t xml:space="preserve"> (directeur de recherche, CNRS), qui associe des œuvres variées.</w:t>
      </w:r>
    </w:p>
    <w:p w14:paraId="5F7F7F78" w14:textId="394A04B9" w:rsidR="009E0AEC" w:rsidRPr="00BB1093" w:rsidRDefault="009E0AEC" w:rsidP="00EF1A35">
      <w:pPr>
        <w:jc w:val="both"/>
        <w:rPr>
          <w:sz w:val="22"/>
          <w:szCs w:val="22"/>
        </w:rPr>
      </w:pPr>
    </w:p>
    <w:p w14:paraId="02C65B76" w14:textId="77777777" w:rsidR="009E0AEC" w:rsidRPr="00BB1093" w:rsidRDefault="009E0AEC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3. </w:t>
      </w:r>
      <w:r w:rsidRPr="00BB1093">
        <w:rPr>
          <w:sz w:val="22"/>
          <w:szCs w:val="22"/>
          <w:u w:val="single"/>
        </w:rPr>
        <w:t>L’Europe des Celtes</w:t>
      </w:r>
      <w:r w:rsidRPr="00BB1093">
        <w:rPr>
          <w:sz w:val="22"/>
          <w:szCs w:val="22"/>
        </w:rPr>
        <w:t> ;</w:t>
      </w:r>
    </w:p>
    <w:p w14:paraId="67A3F6C9" w14:textId="52E63F3F" w:rsidR="009E0AEC" w:rsidRPr="00BB1093" w:rsidRDefault="009E0AEC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Caractéristiques de la fin du IIe âge du Fer, les </w:t>
      </w:r>
      <w:r w:rsidRPr="00BB1093">
        <w:rPr>
          <w:i/>
          <w:iCs/>
          <w:sz w:val="22"/>
          <w:szCs w:val="22"/>
        </w:rPr>
        <w:t>oppida</w:t>
      </w:r>
      <w:r w:rsidRPr="00BB1093">
        <w:rPr>
          <w:sz w:val="22"/>
          <w:szCs w:val="22"/>
        </w:rPr>
        <w:t xml:space="preserve">, ces sites de hauteur fortifiés signalés par César dans la </w:t>
      </w:r>
      <w:r w:rsidRPr="00BB1093">
        <w:rPr>
          <w:i/>
          <w:iCs/>
          <w:sz w:val="22"/>
          <w:szCs w:val="22"/>
        </w:rPr>
        <w:t>Guerre des Gaules</w:t>
      </w:r>
      <w:r w:rsidRPr="00BB1093">
        <w:rPr>
          <w:sz w:val="22"/>
          <w:szCs w:val="22"/>
        </w:rPr>
        <w:t xml:space="preserve">, sont illustrés par le site de </w:t>
      </w:r>
      <w:proofErr w:type="spellStart"/>
      <w:r w:rsidRPr="00BB1093">
        <w:rPr>
          <w:sz w:val="22"/>
          <w:szCs w:val="22"/>
        </w:rPr>
        <w:t>Manching</w:t>
      </w:r>
      <w:proofErr w:type="spellEnd"/>
      <w:r w:rsidRPr="00BB1093">
        <w:rPr>
          <w:sz w:val="22"/>
          <w:szCs w:val="22"/>
        </w:rPr>
        <w:t>, Kr. Ingolstadt, Haute-Bavière, Allemagne, mis en valeur par une reconstitution en 3D.</w:t>
      </w:r>
    </w:p>
    <w:p w14:paraId="40BE533D" w14:textId="77777777" w:rsidR="0060493E" w:rsidRPr="00BB1093" w:rsidRDefault="0060493E" w:rsidP="00EF1A35">
      <w:pPr>
        <w:jc w:val="both"/>
        <w:rPr>
          <w:sz w:val="22"/>
          <w:szCs w:val="22"/>
        </w:rPr>
      </w:pPr>
    </w:p>
    <w:p w14:paraId="2F05356B" w14:textId="66154181" w:rsidR="0060493E" w:rsidRPr="00BB1093" w:rsidRDefault="0060493E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4. </w:t>
      </w:r>
      <w:r w:rsidRPr="00BB1093">
        <w:rPr>
          <w:sz w:val="22"/>
          <w:szCs w:val="22"/>
          <w:u w:val="single"/>
        </w:rPr>
        <w:t>D’hier à aujourd’hui</w:t>
      </w:r>
      <w:r w:rsidRPr="00BB1093">
        <w:rPr>
          <w:sz w:val="22"/>
          <w:szCs w:val="22"/>
        </w:rPr>
        <w:t>.</w:t>
      </w:r>
    </w:p>
    <w:p w14:paraId="587EE819" w14:textId="34009C78" w:rsidR="009E0AEC" w:rsidRDefault="009E0AEC" w:rsidP="00EF1A35">
      <w:pPr>
        <w:jc w:val="both"/>
        <w:rPr>
          <w:sz w:val="22"/>
          <w:szCs w:val="22"/>
        </w:rPr>
      </w:pPr>
      <w:r w:rsidRPr="00BB1093">
        <w:rPr>
          <w:sz w:val="22"/>
          <w:szCs w:val="22"/>
        </w:rPr>
        <w:t xml:space="preserve">Enfin, est questionné l’héritage de la culture des Celtes de l’antiquité, tels que la légende du roi Arthur, la « Celtomanie » en Bretagne ou encore le festival </w:t>
      </w:r>
      <w:proofErr w:type="spellStart"/>
      <w:r w:rsidRPr="00BB1093">
        <w:rPr>
          <w:sz w:val="22"/>
          <w:szCs w:val="22"/>
        </w:rPr>
        <w:t>Beltaine</w:t>
      </w:r>
      <w:proofErr w:type="spellEnd"/>
      <w:r w:rsidRPr="00BB1093">
        <w:rPr>
          <w:sz w:val="22"/>
          <w:szCs w:val="22"/>
        </w:rPr>
        <w:t xml:space="preserve">, à </w:t>
      </w:r>
      <w:proofErr w:type="spellStart"/>
      <w:r w:rsidRPr="00BB1093">
        <w:rPr>
          <w:sz w:val="22"/>
          <w:szCs w:val="22"/>
        </w:rPr>
        <w:t>Edimbourg</w:t>
      </w:r>
      <w:proofErr w:type="spellEnd"/>
      <w:r w:rsidRPr="00BB1093">
        <w:rPr>
          <w:sz w:val="22"/>
          <w:szCs w:val="22"/>
        </w:rPr>
        <w:t>, qui a lieu du 30 avril au 1</w:t>
      </w:r>
      <w:r w:rsidRPr="00BB1093">
        <w:rPr>
          <w:sz w:val="22"/>
          <w:szCs w:val="22"/>
          <w:vertAlign w:val="superscript"/>
        </w:rPr>
        <w:t>er</w:t>
      </w:r>
      <w:r w:rsidRPr="00BB1093">
        <w:rPr>
          <w:sz w:val="22"/>
          <w:szCs w:val="22"/>
        </w:rPr>
        <w:t xml:space="preserve"> mai.</w:t>
      </w:r>
    </w:p>
    <w:p w14:paraId="7FF8DF45" w14:textId="77777777" w:rsidR="00756285" w:rsidRDefault="00756285" w:rsidP="00EF1A35">
      <w:pPr>
        <w:jc w:val="both"/>
        <w:rPr>
          <w:sz w:val="22"/>
          <w:szCs w:val="22"/>
        </w:rPr>
      </w:pPr>
    </w:p>
    <w:p w14:paraId="28CF0D70" w14:textId="77777777" w:rsidR="00AF262D" w:rsidRDefault="00AF262D" w:rsidP="00EF1A35">
      <w:pPr>
        <w:jc w:val="both"/>
        <w:rPr>
          <w:sz w:val="22"/>
          <w:szCs w:val="22"/>
        </w:rPr>
      </w:pPr>
    </w:p>
    <w:p w14:paraId="21497A73" w14:textId="77777777" w:rsidR="00000ADF" w:rsidRDefault="00000ADF" w:rsidP="00EF1A35">
      <w:pPr>
        <w:jc w:val="both"/>
        <w:rPr>
          <w:sz w:val="22"/>
          <w:szCs w:val="22"/>
        </w:rPr>
      </w:pPr>
    </w:p>
    <w:p w14:paraId="3F93DC10" w14:textId="562D046B" w:rsidR="00AF262D" w:rsidRPr="00AF262D" w:rsidRDefault="00756285" w:rsidP="00AF262D">
      <w:pPr>
        <w:jc w:val="both"/>
        <w:rPr>
          <w:sz w:val="22"/>
          <w:szCs w:val="22"/>
        </w:rPr>
      </w:pPr>
      <w:r w:rsidRPr="00AF262D">
        <w:rPr>
          <w:i/>
          <w:iCs/>
          <w:sz w:val="22"/>
          <w:szCs w:val="22"/>
          <w:u w:val="single"/>
        </w:rPr>
        <w:t>En complément</w:t>
      </w:r>
      <w:r w:rsidR="00AF262D" w:rsidRPr="00AF262D">
        <w:rPr>
          <w:i/>
          <w:iCs/>
          <w:sz w:val="22"/>
          <w:szCs w:val="22"/>
          <w:u w:val="single"/>
        </w:rPr>
        <w:t xml:space="preserve">, </w:t>
      </w:r>
      <w:r w:rsidR="00AF262D" w:rsidRPr="00F768A6">
        <w:rPr>
          <w:i/>
          <w:iCs/>
          <w:sz w:val="22"/>
          <w:szCs w:val="22"/>
          <w:u w:val="single"/>
        </w:rPr>
        <w:t>Celtes, débat</w:t>
      </w:r>
      <w:r w:rsidR="00AF262D" w:rsidRPr="00F768A6">
        <w:rPr>
          <w:sz w:val="22"/>
          <w:szCs w:val="22"/>
        </w:rPr>
        <w:t> :</w:t>
      </w:r>
    </w:p>
    <w:p w14:paraId="266E322C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F768A6">
        <w:rPr>
          <w:sz w:val="22"/>
          <w:szCs w:val="22"/>
        </w:rPr>
        <w:t xml:space="preserve">Chapman M., </w:t>
      </w:r>
      <w:r w:rsidRPr="00F768A6">
        <w:rPr>
          <w:i/>
          <w:sz w:val="22"/>
          <w:szCs w:val="22"/>
        </w:rPr>
        <w:t xml:space="preserve">The </w:t>
      </w:r>
      <w:proofErr w:type="spellStart"/>
      <w:r w:rsidRPr="00F768A6">
        <w:rPr>
          <w:i/>
          <w:sz w:val="22"/>
          <w:szCs w:val="22"/>
        </w:rPr>
        <w:t>Celts</w:t>
      </w:r>
      <w:proofErr w:type="spellEnd"/>
      <w:r w:rsidRPr="00F768A6">
        <w:rPr>
          <w:i/>
          <w:sz w:val="22"/>
          <w:szCs w:val="22"/>
        </w:rPr>
        <w:t xml:space="preserve">. </w:t>
      </w:r>
      <w:r w:rsidRPr="00000ADF">
        <w:rPr>
          <w:i/>
          <w:sz w:val="22"/>
          <w:szCs w:val="22"/>
          <w:lang w:val="en-US"/>
        </w:rPr>
        <w:t>The Construction of a Myth</w:t>
      </w:r>
      <w:r w:rsidRPr="00000ADF">
        <w:rPr>
          <w:sz w:val="22"/>
          <w:szCs w:val="22"/>
          <w:lang w:val="en-US"/>
        </w:rPr>
        <w:t>, St Martin’s Press, New York / The Macmillan Press Ltd, Basingstoke, 1992.</w:t>
      </w:r>
    </w:p>
    <w:p w14:paraId="6C878C16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Collis J., « The origin and the spread of the Celts », </w:t>
      </w:r>
      <w:r w:rsidRPr="00000ADF">
        <w:rPr>
          <w:i/>
          <w:sz w:val="22"/>
          <w:szCs w:val="22"/>
          <w:lang w:val="en-US"/>
        </w:rPr>
        <w:t xml:space="preserve">Studia </w:t>
      </w:r>
      <w:proofErr w:type="spellStart"/>
      <w:r w:rsidRPr="00000ADF">
        <w:rPr>
          <w:i/>
          <w:sz w:val="22"/>
          <w:szCs w:val="22"/>
          <w:lang w:val="en-US"/>
        </w:rPr>
        <w:t>Celtica</w:t>
      </w:r>
      <w:proofErr w:type="spellEnd"/>
      <w:r w:rsidRPr="00000ADF">
        <w:rPr>
          <w:sz w:val="22"/>
          <w:szCs w:val="22"/>
          <w:lang w:val="en-US"/>
        </w:rPr>
        <w:t>, XXX, 1996, 17-34.</w:t>
      </w:r>
    </w:p>
    <w:p w14:paraId="27161A7C" w14:textId="77777777" w:rsidR="00AF262D" w:rsidRPr="00000ADF" w:rsidRDefault="00AF262D" w:rsidP="00AF262D">
      <w:pPr>
        <w:jc w:val="both"/>
        <w:rPr>
          <w:sz w:val="22"/>
          <w:szCs w:val="22"/>
        </w:rPr>
      </w:pPr>
      <w:proofErr w:type="spellStart"/>
      <w:r w:rsidRPr="00000ADF">
        <w:rPr>
          <w:sz w:val="22"/>
          <w:szCs w:val="22"/>
        </w:rPr>
        <w:t>Collis</w:t>
      </w:r>
      <w:proofErr w:type="spellEnd"/>
      <w:r w:rsidRPr="00000ADF">
        <w:rPr>
          <w:sz w:val="22"/>
          <w:szCs w:val="22"/>
        </w:rPr>
        <w:t xml:space="preserve"> J., « Celtic </w:t>
      </w:r>
      <w:proofErr w:type="spellStart"/>
      <w:r w:rsidRPr="00000ADF">
        <w:rPr>
          <w:sz w:val="22"/>
          <w:szCs w:val="22"/>
        </w:rPr>
        <w:t>Myths</w:t>
      </w:r>
      <w:proofErr w:type="spellEnd"/>
      <w:r w:rsidRPr="00000ADF">
        <w:rPr>
          <w:sz w:val="22"/>
          <w:szCs w:val="22"/>
        </w:rPr>
        <w:t xml:space="preserve"> », </w:t>
      </w:r>
      <w:proofErr w:type="spellStart"/>
      <w:r w:rsidRPr="00000ADF">
        <w:rPr>
          <w:i/>
          <w:sz w:val="22"/>
          <w:szCs w:val="22"/>
        </w:rPr>
        <w:t>Antiquity</w:t>
      </w:r>
      <w:proofErr w:type="spellEnd"/>
      <w:r w:rsidRPr="00000ADF">
        <w:rPr>
          <w:sz w:val="22"/>
          <w:szCs w:val="22"/>
        </w:rPr>
        <w:t>, 71, 1997, 195-201.</w:t>
      </w:r>
    </w:p>
    <w:p w14:paraId="1602CF81" w14:textId="77777777" w:rsidR="00AF262D" w:rsidRPr="00000ADF" w:rsidRDefault="00AF262D" w:rsidP="00AF262D">
      <w:pPr>
        <w:pStyle w:val="Sansinterligne"/>
        <w:jc w:val="both"/>
        <w:rPr>
          <w:rFonts w:ascii="Times New Roman" w:hAnsi="Times New Roman"/>
          <w:lang w:val="en-US"/>
        </w:rPr>
      </w:pPr>
      <w:r w:rsidRPr="00000ADF">
        <w:rPr>
          <w:rFonts w:ascii="Times New Roman" w:hAnsi="Times New Roman"/>
          <w:lang w:val="en-US"/>
        </w:rPr>
        <w:t xml:space="preserve">Collis J., </w:t>
      </w:r>
      <w:r w:rsidRPr="00000ADF">
        <w:rPr>
          <w:rFonts w:ascii="Times New Roman" w:hAnsi="Times New Roman"/>
          <w:i/>
          <w:lang w:val="en-US"/>
        </w:rPr>
        <w:t>The Celts. Origins, Myths</w:t>
      </w:r>
      <w:r w:rsidRPr="00000ADF">
        <w:rPr>
          <w:rFonts w:ascii="Times New Roman" w:hAnsi="Times New Roman"/>
          <w:lang w:val="en-US"/>
        </w:rPr>
        <w:t>, Inventions, Tempus ed., 2003.</w:t>
      </w:r>
    </w:p>
    <w:p w14:paraId="04DF5425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Cunliffe B. et Koch J.T., </w:t>
      </w:r>
      <w:r w:rsidRPr="00000ADF">
        <w:rPr>
          <w:iCs/>
          <w:sz w:val="22"/>
          <w:szCs w:val="22"/>
          <w:lang w:val="en-US"/>
        </w:rPr>
        <w:t xml:space="preserve">Celtic from the West. Alternative perspectives from Archaeology, Genetics, Language and Literature, </w:t>
      </w:r>
      <w:r w:rsidRPr="00000ADF">
        <w:rPr>
          <w:i/>
          <w:iCs/>
          <w:sz w:val="22"/>
          <w:szCs w:val="22"/>
          <w:lang w:val="en-US"/>
        </w:rPr>
        <w:t>Celtic Studies Publications</w:t>
      </w:r>
      <w:r w:rsidRPr="00000ADF">
        <w:rPr>
          <w:sz w:val="22"/>
          <w:szCs w:val="22"/>
          <w:lang w:val="en-US"/>
        </w:rPr>
        <w:t xml:space="preserve"> XV, Oxbow Books, Oxford, 2010.</w:t>
      </w:r>
    </w:p>
    <w:p w14:paraId="06ABBF79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Cunliffe B. et Koch J.T., Celtic from the West 2. Rethinking the Bronze Age and the Arrival of Indo-European in Atlantic Europe, </w:t>
      </w:r>
      <w:r w:rsidRPr="00000ADF">
        <w:rPr>
          <w:i/>
          <w:sz w:val="22"/>
          <w:szCs w:val="22"/>
          <w:lang w:val="en-US"/>
        </w:rPr>
        <w:t>Celtic Studies Publications</w:t>
      </w:r>
      <w:r w:rsidRPr="00000ADF">
        <w:rPr>
          <w:sz w:val="22"/>
          <w:szCs w:val="22"/>
          <w:lang w:val="en-US"/>
        </w:rPr>
        <w:t xml:space="preserve"> XVI, Oxbow Books, Oxford, 2013.</w:t>
      </w:r>
    </w:p>
    <w:p w14:paraId="05DD48FF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Cunliffe B. et Koch J.T., Celtic from the West 3. Atlantic Europe in the Metal Age – questions of shared language, </w:t>
      </w:r>
      <w:r w:rsidRPr="00000ADF">
        <w:rPr>
          <w:i/>
          <w:sz w:val="22"/>
          <w:szCs w:val="22"/>
          <w:lang w:val="en-US"/>
        </w:rPr>
        <w:t>Celtic Studies Publications</w:t>
      </w:r>
      <w:r w:rsidRPr="00000ADF">
        <w:rPr>
          <w:iCs/>
          <w:sz w:val="22"/>
          <w:szCs w:val="22"/>
          <w:lang w:val="en-US"/>
        </w:rPr>
        <w:t xml:space="preserve"> </w:t>
      </w:r>
      <w:r w:rsidRPr="00000ADF">
        <w:rPr>
          <w:sz w:val="22"/>
          <w:szCs w:val="22"/>
          <w:lang w:val="en-US"/>
        </w:rPr>
        <w:t>XIX, Oxbow Books, Oxford, 2016.</w:t>
      </w:r>
    </w:p>
    <w:p w14:paraId="15460F6B" w14:textId="77777777" w:rsidR="00AF262D" w:rsidRPr="00000ADF" w:rsidRDefault="00AF262D" w:rsidP="00AF262D">
      <w:pPr>
        <w:jc w:val="both"/>
        <w:rPr>
          <w:sz w:val="22"/>
          <w:szCs w:val="22"/>
          <w:lang w:val="en-US"/>
        </w:rPr>
      </w:pPr>
      <w:r w:rsidRPr="00000ADF">
        <w:rPr>
          <w:sz w:val="22"/>
          <w:szCs w:val="22"/>
          <w:lang w:val="en-US"/>
        </w:rPr>
        <w:t xml:space="preserve">Cunliffe B. et Koch J.T., Exploring Celtic Origins. New ways forward in archaeology, linguistics, and genetics, </w:t>
      </w:r>
      <w:r w:rsidRPr="00000ADF">
        <w:rPr>
          <w:i/>
          <w:iCs/>
          <w:sz w:val="22"/>
          <w:szCs w:val="22"/>
          <w:lang w:val="en-US"/>
        </w:rPr>
        <w:t>Celtic Studies Publications</w:t>
      </w:r>
      <w:r w:rsidRPr="00000ADF">
        <w:rPr>
          <w:sz w:val="22"/>
          <w:szCs w:val="22"/>
          <w:lang w:val="en-US"/>
        </w:rPr>
        <w:t xml:space="preserve"> XXII, Oxbow Books, Oxford &amp; Philadelphia, 2019.</w:t>
      </w:r>
    </w:p>
    <w:p w14:paraId="3BCA38DD" w14:textId="77777777" w:rsidR="00AF262D" w:rsidRPr="00000ADF" w:rsidRDefault="00AF262D" w:rsidP="00AF262D">
      <w:pPr>
        <w:jc w:val="both"/>
        <w:rPr>
          <w:sz w:val="22"/>
          <w:szCs w:val="22"/>
        </w:rPr>
      </w:pPr>
      <w:r w:rsidRPr="00000ADF">
        <w:rPr>
          <w:sz w:val="22"/>
          <w:szCs w:val="22"/>
          <w:lang w:val="en-US"/>
        </w:rPr>
        <w:t xml:space="preserve">James S., </w:t>
      </w:r>
      <w:r w:rsidRPr="00000ADF">
        <w:rPr>
          <w:i/>
          <w:sz w:val="22"/>
          <w:szCs w:val="22"/>
          <w:lang w:val="en-US"/>
        </w:rPr>
        <w:t>The Atlantic Celts. Ancient people or modern invention?</w:t>
      </w:r>
      <w:r w:rsidRPr="00000ADF">
        <w:rPr>
          <w:sz w:val="22"/>
          <w:szCs w:val="22"/>
          <w:lang w:val="en-US"/>
        </w:rPr>
        <w:t xml:space="preserve"> </w:t>
      </w:r>
      <w:r w:rsidRPr="00000ADF">
        <w:rPr>
          <w:sz w:val="22"/>
          <w:szCs w:val="22"/>
        </w:rPr>
        <w:t xml:space="preserve">The </w:t>
      </w:r>
      <w:proofErr w:type="spellStart"/>
      <w:r w:rsidRPr="00000ADF">
        <w:rPr>
          <w:sz w:val="22"/>
          <w:szCs w:val="22"/>
        </w:rPr>
        <w:t>University</w:t>
      </w:r>
      <w:proofErr w:type="spellEnd"/>
      <w:r w:rsidRPr="00000ADF">
        <w:rPr>
          <w:sz w:val="22"/>
          <w:szCs w:val="22"/>
        </w:rPr>
        <w:t xml:space="preserve"> of Wisconsin </w:t>
      </w:r>
      <w:proofErr w:type="spellStart"/>
      <w:r w:rsidRPr="00000ADF">
        <w:rPr>
          <w:sz w:val="22"/>
          <w:szCs w:val="22"/>
        </w:rPr>
        <w:t>Press</w:t>
      </w:r>
      <w:proofErr w:type="spellEnd"/>
      <w:r w:rsidRPr="00000ADF">
        <w:rPr>
          <w:sz w:val="22"/>
          <w:szCs w:val="22"/>
        </w:rPr>
        <w:t>, USA, 1999.</w:t>
      </w:r>
    </w:p>
    <w:p w14:paraId="57F44A94" w14:textId="77777777" w:rsidR="00AF262D" w:rsidRPr="00000ADF" w:rsidRDefault="00AF262D" w:rsidP="00AF262D">
      <w:pPr>
        <w:jc w:val="both"/>
        <w:rPr>
          <w:color w:val="444444"/>
          <w:sz w:val="22"/>
          <w:szCs w:val="22"/>
          <w:shd w:val="clear" w:color="auto" w:fill="FFFFFF"/>
        </w:rPr>
      </w:pPr>
      <w:proofErr w:type="spellStart"/>
      <w:r w:rsidRPr="00000ADF">
        <w:rPr>
          <w:sz w:val="22"/>
          <w:szCs w:val="22"/>
        </w:rPr>
        <w:t>Lewuillon</w:t>
      </w:r>
      <w:proofErr w:type="spellEnd"/>
      <w:r w:rsidRPr="00000ADF">
        <w:rPr>
          <w:sz w:val="22"/>
          <w:szCs w:val="22"/>
        </w:rPr>
        <w:t xml:space="preserve"> S., </w:t>
      </w:r>
      <w:r w:rsidRPr="00000ADF">
        <w:rPr>
          <w:color w:val="444444"/>
          <w:sz w:val="22"/>
          <w:szCs w:val="22"/>
          <w:shd w:val="clear" w:color="auto" w:fill="FFFFFF"/>
        </w:rPr>
        <w:t xml:space="preserve">« La mal-mesure des Celtes. Errements et débats autour de l’identité celtique de 1850 à nos jours », in S. </w:t>
      </w:r>
      <w:proofErr w:type="spellStart"/>
      <w:r w:rsidRPr="00000ADF">
        <w:rPr>
          <w:color w:val="444444"/>
          <w:sz w:val="22"/>
          <w:szCs w:val="22"/>
          <w:shd w:val="clear" w:color="auto" w:fill="FFFFFF"/>
        </w:rPr>
        <w:t>Rieckhoff</w:t>
      </w:r>
      <w:proofErr w:type="spellEnd"/>
      <w:r w:rsidRPr="00000ADF">
        <w:rPr>
          <w:color w:val="444444"/>
          <w:sz w:val="22"/>
          <w:szCs w:val="22"/>
          <w:shd w:val="clear" w:color="auto" w:fill="FFFFFF"/>
        </w:rPr>
        <w:t xml:space="preserve"> (</w:t>
      </w:r>
      <w:proofErr w:type="spellStart"/>
      <w:r w:rsidRPr="00000ADF">
        <w:rPr>
          <w:color w:val="444444"/>
          <w:sz w:val="22"/>
          <w:szCs w:val="22"/>
          <w:shd w:val="clear" w:color="auto" w:fill="FFFFFF"/>
        </w:rPr>
        <w:t>dir</w:t>
      </w:r>
      <w:proofErr w:type="spellEnd"/>
      <w:r w:rsidRPr="00000ADF">
        <w:rPr>
          <w:color w:val="444444"/>
          <w:sz w:val="22"/>
          <w:szCs w:val="22"/>
          <w:shd w:val="clear" w:color="auto" w:fill="FFFFFF"/>
        </w:rPr>
        <w:t xml:space="preserve">.), Celtes et Gaulois, l’Archéologie face à l’Histoire, I. Celtes et Gaulois dans l’histoire, l’historiographie et l’idéologie moderne. Actes de la table-ronde tenue à Leipzig, 16-17 juin 2005, </w:t>
      </w:r>
      <w:r w:rsidRPr="00000ADF">
        <w:rPr>
          <w:i/>
          <w:color w:val="444444"/>
          <w:sz w:val="22"/>
          <w:szCs w:val="22"/>
          <w:shd w:val="clear" w:color="auto" w:fill="FFFFFF"/>
        </w:rPr>
        <w:t>Collection Bibracte</w:t>
      </w:r>
      <w:r w:rsidRPr="00000ADF">
        <w:rPr>
          <w:color w:val="444444"/>
          <w:sz w:val="22"/>
          <w:szCs w:val="22"/>
          <w:shd w:val="clear" w:color="auto" w:fill="FFFFFF"/>
        </w:rPr>
        <w:t xml:space="preserve"> 12-1, 2006, 171-195.</w:t>
      </w:r>
    </w:p>
    <w:p w14:paraId="59E2C4F4" w14:textId="2A435203" w:rsidR="00113C8A" w:rsidRPr="00000ADF" w:rsidRDefault="00AF262D" w:rsidP="00AF262D">
      <w:pPr>
        <w:pStyle w:val="Sansinterligne"/>
        <w:jc w:val="both"/>
        <w:rPr>
          <w:rFonts w:ascii="Times New Roman" w:hAnsi="Times New Roman"/>
        </w:rPr>
      </w:pPr>
      <w:proofErr w:type="spellStart"/>
      <w:r w:rsidRPr="00000ADF">
        <w:rPr>
          <w:rFonts w:ascii="Times New Roman" w:hAnsi="Times New Roman"/>
        </w:rPr>
        <w:t>Rieckhoff</w:t>
      </w:r>
      <w:proofErr w:type="spellEnd"/>
      <w:r w:rsidRPr="00000ADF">
        <w:rPr>
          <w:rFonts w:ascii="Times New Roman" w:hAnsi="Times New Roman"/>
        </w:rPr>
        <w:t xml:space="preserve"> S. (éd.), Celtes et Gaulois. L’Archéologie face à l’Histoire, vol. 1, Celtes et Gaulois dans l’histoire ; l’historiographie et l’idéologie moderne, actes de la table-ronde tenue à Leipzig (16-17 juin 2005), </w:t>
      </w:r>
      <w:r w:rsidRPr="00000ADF">
        <w:rPr>
          <w:rFonts w:ascii="Times New Roman" w:hAnsi="Times New Roman"/>
          <w:i/>
        </w:rPr>
        <w:t>Bibracte</w:t>
      </w:r>
      <w:r w:rsidRPr="00000ADF">
        <w:rPr>
          <w:rFonts w:ascii="Times New Roman" w:hAnsi="Times New Roman"/>
        </w:rPr>
        <w:t xml:space="preserve"> 12-1, 2006.</w:t>
      </w:r>
    </w:p>
    <w:sectPr w:rsidR="00113C8A" w:rsidRPr="00000ADF" w:rsidSect="00566F32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85A5" w14:textId="77777777" w:rsidR="00687384" w:rsidRDefault="00687384" w:rsidP="00CC493E">
      <w:r>
        <w:separator/>
      </w:r>
    </w:p>
  </w:endnote>
  <w:endnote w:type="continuationSeparator" w:id="0">
    <w:p w14:paraId="5BB3E90B" w14:textId="77777777" w:rsidR="00687384" w:rsidRDefault="00687384" w:rsidP="00C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747D" w14:textId="77777777" w:rsidR="00687384" w:rsidRDefault="00687384" w:rsidP="00CC493E">
      <w:r>
        <w:separator/>
      </w:r>
    </w:p>
  </w:footnote>
  <w:footnote w:type="continuationSeparator" w:id="0">
    <w:p w14:paraId="30C581FD" w14:textId="77777777" w:rsidR="00687384" w:rsidRDefault="00687384" w:rsidP="00CC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769473940"/>
      <w:docPartObj>
        <w:docPartGallery w:val="Page Numbers (Top of Page)"/>
        <w:docPartUnique/>
      </w:docPartObj>
    </w:sdtPr>
    <w:sdtContent>
      <w:p w14:paraId="17DEC650" w14:textId="112239D6" w:rsidR="00CC493E" w:rsidRDefault="00CC493E" w:rsidP="004D2080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4E8890E" w14:textId="77777777" w:rsidR="00CC493E" w:rsidRDefault="00CC493E" w:rsidP="00CC493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40039315"/>
      <w:docPartObj>
        <w:docPartGallery w:val="Page Numbers (Top of Page)"/>
        <w:docPartUnique/>
      </w:docPartObj>
    </w:sdtPr>
    <w:sdtContent>
      <w:p w14:paraId="3C4DD83D" w14:textId="5F34962C" w:rsidR="00CC493E" w:rsidRDefault="00CC493E" w:rsidP="004D2080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81AEEF3" w14:textId="77777777" w:rsidR="00CC493E" w:rsidRDefault="00CC493E" w:rsidP="00CC493E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23D43"/>
    <w:multiLevelType w:val="hybridMultilevel"/>
    <w:tmpl w:val="8D80F07C"/>
    <w:lvl w:ilvl="0" w:tplc="D70434B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3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00"/>
    <w:rsid w:val="00000ADF"/>
    <w:rsid w:val="00067999"/>
    <w:rsid w:val="000C7EED"/>
    <w:rsid w:val="000D0641"/>
    <w:rsid w:val="00111729"/>
    <w:rsid w:val="00113C8A"/>
    <w:rsid w:val="001645EA"/>
    <w:rsid w:val="00171F70"/>
    <w:rsid w:val="001E512C"/>
    <w:rsid w:val="001F73AD"/>
    <w:rsid w:val="002002AE"/>
    <w:rsid w:val="002574C0"/>
    <w:rsid w:val="002614E6"/>
    <w:rsid w:val="002F31D3"/>
    <w:rsid w:val="0030315A"/>
    <w:rsid w:val="00325C5F"/>
    <w:rsid w:val="00334097"/>
    <w:rsid w:val="0035186A"/>
    <w:rsid w:val="003C642A"/>
    <w:rsid w:val="00444B76"/>
    <w:rsid w:val="00482F8C"/>
    <w:rsid w:val="004E3DD1"/>
    <w:rsid w:val="00504AA0"/>
    <w:rsid w:val="005070B6"/>
    <w:rsid w:val="0054126C"/>
    <w:rsid w:val="005448B1"/>
    <w:rsid w:val="00566F32"/>
    <w:rsid w:val="005C795F"/>
    <w:rsid w:val="0060493E"/>
    <w:rsid w:val="00687384"/>
    <w:rsid w:val="006B062F"/>
    <w:rsid w:val="006E527A"/>
    <w:rsid w:val="006F1C54"/>
    <w:rsid w:val="00756285"/>
    <w:rsid w:val="00815AC8"/>
    <w:rsid w:val="00852CB5"/>
    <w:rsid w:val="00933C88"/>
    <w:rsid w:val="00992E8A"/>
    <w:rsid w:val="009E0AEC"/>
    <w:rsid w:val="00A35917"/>
    <w:rsid w:val="00A42AB4"/>
    <w:rsid w:val="00A56B2A"/>
    <w:rsid w:val="00A837D4"/>
    <w:rsid w:val="00AF262D"/>
    <w:rsid w:val="00B25055"/>
    <w:rsid w:val="00B85413"/>
    <w:rsid w:val="00BB1093"/>
    <w:rsid w:val="00BC7788"/>
    <w:rsid w:val="00BE093B"/>
    <w:rsid w:val="00C12333"/>
    <w:rsid w:val="00C65651"/>
    <w:rsid w:val="00CC493E"/>
    <w:rsid w:val="00CF6535"/>
    <w:rsid w:val="00D06F61"/>
    <w:rsid w:val="00D5001E"/>
    <w:rsid w:val="00DA1D0E"/>
    <w:rsid w:val="00DD42A8"/>
    <w:rsid w:val="00DD7300"/>
    <w:rsid w:val="00E0722D"/>
    <w:rsid w:val="00E23E6D"/>
    <w:rsid w:val="00E323B9"/>
    <w:rsid w:val="00ED64AA"/>
    <w:rsid w:val="00EF1A35"/>
    <w:rsid w:val="00EF1F7F"/>
    <w:rsid w:val="00F248E4"/>
    <w:rsid w:val="00F4658E"/>
    <w:rsid w:val="00F768A6"/>
    <w:rsid w:val="00F8473D"/>
    <w:rsid w:val="00F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E1F84"/>
  <w15:chartTrackingRefBased/>
  <w15:docId w15:val="{1B4FD987-97A3-114C-999C-5D3FCBF6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1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CF6535"/>
    <w:rPr>
      <w:rFonts w:ascii="Cambria" w:eastAsia="Cambria" w:hAnsi="Cambria" w:cs="Cambria"/>
      <w:color w:val="000000"/>
      <w:u w:color="000000"/>
      <w:lang w:eastAsia="fr-FR"/>
    </w:rPr>
  </w:style>
  <w:style w:type="character" w:customStyle="1" w:styleId="Aucun">
    <w:name w:val="Aucun"/>
    <w:rsid w:val="00CF6535"/>
  </w:style>
  <w:style w:type="paragraph" w:styleId="En-tte">
    <w:name w:val="header"/>
    <w:basedOn w:val="Normal"/>
    <w:link w:val="En-tteCar"/>
    <w:uiPriority w:val="99"/>
    <w:unhideWhenUsed/>
    <w:rsid w:val="00CC493E"/>
    <w:pPr>
      <w:tabs>
        <w:tab w:val="center" w:pos="4536"/>
        <w:tab w:val="right" w:pos="9072"/>
      </w:tabs>
    </w:pPr>
    <w:rPr>
      <w:rFonts w:ascii="Cambria" w:eastAsia="MS Mincho" w:hAnsi="Cambria"/>
    </w:rPr>
  </w:style>
  <w:style w:type="character" w:customStyle="1" w:styleId="En-tteCar">
    <w:name w:val="En-tête Car"/>
    <w:basedOn w:val="Policepardfaut"/>
    <w:link w:val="En-tte"/>
    <w:uiPriority w:val="99"/>
    <w:rsid w:val="00CC493E"/>
    <w:rPr>
      <w:rFonts w:ascii="Cambria" w:eastAsia="MS Mincho" w:hAnsi="Cambria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C493E"/>
  </w:style>
  <w:style w:type="paragraph" w:styleId="Paragraphedeliste">
    <w:name w:val="List Paragraph"/>
    <w:basedOn w:val="Normal"/>
    <w:uiPriority w:val="34"/>
    <w:qFormat/>
    <w:rsid w:val="00D5001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ansinterligne">
    <w:name w:val="No Spacing"/>
    <w:uiPriority w:val="1"/>
    <w:qFormat/>
    <w:rsid w:val="00D5001E"/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D50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1494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Virginie Defente</cp:lastModifiedBy>
  <cp:revision>13</cp:revision>
  <cp:lastPrinted>2023-04-11T14:11:00Z</cp:lastPrinted>
  <dcterms:created xsi:type="dcterms:W3CDTF">2023-04-11T13:59:00Z</dcterms:created>
  <dcterms:modified xsi:type="dcterms:W3CDTF">2026-03-24T14:17:00Z</dcterms:modified>
</cp:coreProperties>
</file>