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16se w16cid w16 w16cex w16sdtdh wp14">
  <w:body>
    <w:tbl xmlns:w="http://schemas.openxmlformats.org/wordprocessingml/2006/main">
      <w:tblPr>
        <w:tblStyle w:val="TableGrid"/>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1"/>
      </w:tblGrid>
      <w:tr w:rsidR="000B146B" w:rsidRPr="00A8302A" w14:paraId="339906B6" w14:textId="77777777" w:rsidTr="00B43030">
        <w:trPr>
          <w:trHeight w:val="239"/>
        </w:trPr>
        <w:tc>
          <w:tcPr>
            <w:tcW w:w="13041" w:type="dxa"/>
            <w:shd w:val="clear" w:color="auto" w:fill="auto"/>
            <w:tcMar>
              <w:top w:w="170" w:type="dxa"/>
              <w:left w:w="170" w:type="dxa"/>
              <w:bottom w:w="170" w:type="dxa"/>
              <w:right w:w="170" w:type="dxa"/>
            </w:tcMar>
          </w:tcPr>
          <w:p w14:paraId="6B2A40D4" w14:textId="77777777" w:rsidR="009F16FD"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r w:rsidR="00B43030" w:rsidRPr="00B43030">
              <w:rPr>
                <w:i/>
                <w:noProof/>
              </w:rPr>
              <w:t xml:space="preserve"> </w:t>
            </w:r>
          </w:p>
          <w:p w14:paraId="6C708486" w14:textId="6BEFD779" w:rsidR="000B146B" w:rsidRPr="00A167A8" w:rsidRDefault="009F16FD" w:rsidP="00A167A8">
            <w:pPr>
              <w:rPr>
                <w:i/>
                <w:noProof/>
              </w:rPr>
            </w:pPr>
            <w:r w:rsidRPr="009F16FD">
              <w:rPr>
                <w:i/>
                <w:noProof/>
              </w:rPr>
              <w:t>Segments with a dark grey background are locked and edits made in these segments will not be uploaded.</w:t>
            </w:r>
          </w:p>
        </w:tc>
      </w:tr>
    </w:tbl>
    <w:p xmlns:w="http://schemas.openxmlformats.org/wordprocessingml/2006/main" w14:paraId="10A34711" w14:textId="77777777" w:rsidR="00E35FF0" w:rsidRPr="00350E8C" w:rsidRDefault="00E35FF0">
      <w:pPr>
        <w:rPr>
          <w:noProof/>
          <w:sz w:val="2"/>
          <w:szCs w:val="2"/>
        </w:rPr>
      </w:pPr>
    </w:p>
    <w:tbl xmlns:w="http://schemas.openxmlformats.org/wordprocessingml/2006/main">
      <w:tblPr>
        <w:tblStyle w:val="TableGrid"/>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14:paraId="324FEE1B" w14:textId="77777777" w:rsidTr="00350E8C">
        <w:trPr>
          <w:trHeight w:val="43"/>
        </w:trPr>
        <w:tc>
          <w:tcPr>
            <w:tcW w:w="440" w:type="dxa"/>
            <w:shd w:val="clear" w:color="auto" w:fill="D9D9D9" w:themeFill="background1" w:themeFillShade="D9"/>
            <w:tcMar>
              <w:left w:w="57" w:type="dxa"/>
              <w:right w:w="57" w:type="dxa"/>
            </w:tcMar>
            <w:vAlign w:val="center"/>
          </w:tcPr>
          <w:sdt>
            <w:sdtPr>
              <w:lock w:val="sdtContentLocked"/>
            </w:sdtPr>
            <w:sdtContent>
              <w:p w14:paraId="62EA0D92" w14:textId="77777777" w:rsidR="00EA1C68" w:rsidRPr="008628A6" w:rsidRDefault="00EA1C68" w:rsidP="00D8304C">
                <w:pPr>
                  <w:rPr>
                    <w:noProof/>
                    <w:sz w:val="2"/>
                    <w:szCs w:val="2"/>
                  </w:rPr>
                </w:pPr>
                <w:r>
                  <w:rPr>
                    <w:sz w:val="2"/>
                    <w:szCs w:val="2"/>
                    <w:noProof/>
                  </w:rPr>
                  <w:t xml:space="preserve">en</w:t>
                </w:r>
              </w:p>
            </w:sdtContent>
          </w:sdt>
        </w:tc>
        <w:tc>
          <w:tcPr>
            <w:tcW w:w="2878" w:type="dxa"/>
            <w:shd w:val="clear" w:color="auto" w:fill="D9D9D9" w:themeFill="background1" w:themeFillShade="D9"/>
          </w:tcPr>
          <w:sdt>
            <w:sdtPr>
              <w:lock w:val="sdtContentLocked"/>
            </w:sdtPr>
            <w:sdtContent>
              <w:p w14:paraId="4817954C" w14:textId="77777777" w:rsidR="00EA1C68" w:rsidRPr="008628A6" w:rsidRDefault="00EA1C68" w:rsidP="00D8304C">
                <w:pPr>
                  <w:rPr>
                    <w:noProof/>
                    <w:sz w:val="2"/>
                    <w:szCs w:val="2"/>
                  </w:rPr>
                </w:pPr>
                <w:r>
                  <w:rPr>
                    <w:sz w:val="2"/>
                    <w:szCs w:val="2"/>
                    <w:noProof/>
                  </w:rPr>
                  <w:t xml:space="preserve">fr-fr</w:t>
                </w:r>
              </w:p>
            </w:sdtContent>
          </w:sdt>
        </w:tc>
        <w:tc>
          <w:tcPr>
            <w:tcW w:w="3208" w:type="dxa"/>
            <w:shd w:val="clear" w:color="auto" w:fill="D9D9D9" w:themeFill="background1" w:themeFillShade="D9"/>
          </w:tcPr>
          <w:sdt>
            <w:sdtPr>
              <w:lock w:val="sdtContentLocked"/>
            </w:sdtPr>
            <w:sdtContent>
              <w:p w14:paraId="4BC756BB" w14:textId="77777777" w:rsidR="00EA1C68" w:rsidRPr="008628A6" w:rsidRDefault="00EA1C68" w:rsidP="00D8304C">
                <w:pPr>
                  <w:rPr>
                    <w:noProof/>
                    <w:sz w:val="2"/>
                    <w:szCs w:val="2"/>
                  </w:rPr>
                </w:pPr>
                <w:r>
                  <w:rPr>
                    <w:sz w:val="2"/>
                    <w:szCs w:val="2"/>
                    <w:noProof/>
                  </w:rPr>
                  <w:t xml:space="preserve">1</w:t>
                </w:r>
              </w:p>
            </w:sdtContent>
          </w:sdt>
        </w:tc>
        <w:tc>
          <w:tcPr>
            <w:tcW w:w="1559" w:type="dxa"/>
            <w:shd w:val="clear" w:color="auto" w:fill="D9D9D9" w:themeFill="background1" w:themeFillShade="D9"/>
            <w:tcMar>
              <w:left w:w="57" w:type="dxa"/>
              <w:right w:w="57" w:type="dxa"/>
            </w:tcMar>
            <w:vAlign w:val="center"/>
          </w:tcPr>
          <w:sdt>
            <w:sdtPr>
              <w:lock w:val="sdtContentLocked"/>
            </w:sdtPr>
            <w:sdtContent>
              <w:p w14:paraId="395720C5" w14:textId="77777777" w:rsidR="00EA1C68" w:rsidRPr="008628A6" w:rsidRDefault="00EA1C68" w:rsidP="00D8304C">
                <w:pPr>
                  <w:rPr>
                    <w:noProof/>
                    <w:sz w:val="2"/>
                    <w:szCs w:val="2"/>
                  </w:rPr>
                </w:pPr>
                <w:r>
                  <w:rPr>
                    <w:sz w:val="2"/>
                    <w:szCs w:val="2"/>
                    <w:noProof/>
                  </w:rPr>
                  <w:t xml:space="preserve">converter2</w:t>
                </w:r>
              </w:p>
            </w:sdtContent>
          </w:sdt>
        </w:tc>
        <w:tc>
          <w:tcPr>
            <w:tcW w:w="2693" w:type="dxa"/>
            <w:shd w:val="clear" w:color="auto" w:fill="D9D9D9" w:themeFill="background1" w:themeFillShade="D9"/>
            <w:tcMar>
              <w:left w:w="57" w:type="dxa"/>
              <w:right w:w="57" w:type="dxa"/>
            </w:tcMar>
            <w:vAlign w:val="center"/>
          </w:tcPr>
          <w:sdt>
            <w:sdtPr>
              <w:lock w:val="sdtContentLocked"/>
            </w:sdtPr>
            <w:sdtContent>
              <w:p w14:paraId="5E91016D" w14:textId="77777777" w:rsidR="00EA1C68" w:rsidRPr="008628A6" w:rsidRDefault="00EA1C68" w:rsidP="00D8304C">
                <w:pPr>
                  <w:rPr>
                    <w:noProof/>
                    <w:sz w:val="2"/>
                    <w:szCs w:val="2"/>
                  </w:rPr>
                </w:pPr>
                <w:r>
                  <w:rPr>
                    <w:sz w:val="2"/>
                    <w:szCs w:val="2"/>
                    <w:noProof/>
                  </w:rPr>
                  <w:t xml:space="preserve">Memsource</w:t>
                </w:r>
              </w:p>
            </w:sdtContent>
          </w:sdt>
        </w:tc>
        <w:tc>
          <w:tcPr>
            <w:tcW w:w="993" w:type="dxa"/>
            <w:shd w:val="clear" w:color="auto" w:fill="D9D9D9" w:themeFill="background1" w:themeFillShade="D9"/>
            <w:tcMar>
              <w:left w:w="57" w:type="dxa"/>
              <w:right w:w="57" w:type="dxa"/>
            </w:tcMar>
            <w:vAlign w:val="center"/>
          </w:tcPr>
          <w:p w14:paraId="7BF0A6F5" w14:textId="77777777"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placeholder>
                <w:docPart w:val="DefaultPlaceholder_1082065158"/>
              </w:placeholder>
              <w:text/>
            </w:sdtPr>
            <w:sdtEndPr/>
            <w:sdtContent>
              <w:p w14:paraId="5A420894" w14:textId="77777777" w:rsidR="00EA1C68" w:rsidRPr="008628A6" w:rsidRDefault="00EA1C68" w:rsidP="003F0680">
                <w:pPr>
                  <w:jc w:val="center"/>
                  <w:rPr>
                    <w:noProof/>
                    <w:sz w:val="2"/>
                    <w:szCs w:val="2"/>
                  </w:rPr>
                </w:pPr>
                <w:r w:rsidRPr="008628A6">
                  <w:rPr>
                    <w:noProof/>
                    <w:sz w:val="2"/>
                    <w:szCs w:val="2"/>
                  </w:rPr>
                  <w:t>Memsource</w:t>
                </w:r>
              </w:p>
            </w:sdtContent>
          </w:sdt>
        </w:tc>
      </w:tr>
    </w:tbl>
    <w:p xmlns:w="http://schemas.openxmlformats.org/wordprocessingml/2006/main" w14:paraId="3F6E6191" w14:textId="77777777" w:rsidR="004D1277" w:rsidRPr="00350E8C" w:rsidRDefault="004D1277">
      <w:pPr>
        <w:rPr>
          <w:noProof/>
          <w:sz w:val="16"/>
          <w:szCs w:val="16"/>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03"/>
        <w:gridCol w:w="433"/>
        <w:gridCol w:w="537"/>
        <w:gridCol w:w="5008"/>
        <w:gridCol w:w="5009"/>
        <w:gridCol w:w="429"/>
        <w:gridCol w:w="1436"/>
      </w:tblGrid>
      <w:tr w:rsidR="00F3549D" w:rsidRPr="00B332AA" w14:paraId="6B2761D9" w14:textId="77777777" w:rsidTr="00F27C9B">
        <w:trPr>
          <w:trHeight w:val="260"/>
        </w:trPr>
        <w:tc>
          <w:tcPr>
            <w:tcW w:w="203" w:type="dxa"/>
            <w:vAlign w:val="center"/>
          </w:tcPr>
          <w:p w14:paraId="08A1D6C3" w14:textId="77777777" w:rsidR="00F3549D" w:rsidRPr="00B332AA" w:rsidRDefault="00F3549D" w:rsidP="00ED0062">
            <w:pPr>
              <w:spacing w:after="0"/>
              <w:jc w:val="center"/>
              <w:rPr>
                <w:i/>
                <w:iCs/>
                <w:noProof/>
                <w:sz w:val="14"/>
                <w:szCs w:val="14"/>
              </w:rPr>
            </w:pPr>
            <w:r w:rsidRPr="00B332AA">
              <w:rPr>
                <w:i/>
                <w:iCs/>
                <w:noProof/>
                <w:sz w:val="14"/>
                <w:szCs w:val="14"/>
              </w:rPr>
              <w:t>ID</w:t>
            </w:r>
          </w:p>
        </w:tc>
        <w:tc>
          <w:tcPr>
            <w:tcW w:w="435" w:type="dxa"/>
            <w:vAlign w:val="center"/>
          </w:tcPr>
          <w:p w14:paraId="4263175C" w14:textId="44748E39" w:rsidR="00F3549D" w:rsidRPr="00F3549D" w:rsidRDefault="00F3549D" w:rsidP="00F3549D">
            <w:pPr>
              <w:spacing w:after="0"/>
              <w:jc w:val="center"/>
              <w:rPr>
                <w:i/>
                <w:iCs/>
                <w:noProof/>
                <w:sz w:val="14"/>
                <w:szCs w:val="14"/>
              </w:rPr>
            </w:pPr>
            <w:r w:rsidRPr="00F3549D">
              <w:rPr>
                <w:i/>
                <w:iCs/>
                <w:noProof/>
                <w:sz w:val="14"/>
                <w:szCs w:val="14"/>
              </w:rPr>
              <w:t>I</w:t>
            </w:r>
            <w:r w:rsidR="008719B7">
              <w:rPr>
                <w:i/>
                <w:iCs/>
                <w:noProof/>
                <w:sz w:val="14"/>
                <w:szCs w:val="14"/>
              </w:rPr>
              <w:t>CU</w:t>
            </w:r>
          </w:p>
        </w:tc>
        <w:tc>
          <w:tcPr>
            <w:tcW w:w="539" w:type="dxa"/>
            <w:shd w:val="clear" w:color="auto" w:fill="auto"/>
            <w:tcMar>
              <w:left w:w="57" w:type="dxa"/>
              <w:right w:w="57" w:type="dxa"/>
            </w:tcMar>
            <w:vAlign w:val="center"/>
          </w:tcPr>
          <w:p w14:paraId="43B8BD92" w14:textId="2EB0741C" w:rsidR="00F3549D" w:rsidRPr="00B332AA" w:rsidRDefault="00F3549D" w:rsidP="00ED0062">
            <w:pPr>
              <w:spacing w:after="0"/>
              <w:jc w:val="center"/>
              <w:rPr>
                <w:i/>
                <w:iCs/>
                <w:noProof/>
              </w:rPr>
            </w:pPr>
            <w:r w:rsidRPr="00B332AA">
              <w:rPr>
                <w:i/>
                <w:iCs/>
                <w:noProof/>
              </w:rPr>
              <w:t>#</w:t>
            </w:r>
          </w:p>
        </w:tc>
        <w:tc>
          <w:tcPr>
            <w:tcW w:w="5038" w:type="dxa"/>
            <w:shd w:val="clear" w:color="auto" w:fill="auto"/>
            <w:tcMar>
              <w:left w:w="57" w:type="dxa"/>
              <w:right w:w="57" w:type="dxa"/>
            </w:tcMar>
            <w:vAlign w:val="center"/>
          </w:tcPr>
          <w:p w14:paraId="214D75DD" w14:textId="77777777" w:rsidR="00F3549D" w:rsidRPr="00B332AA" w:rsidRDefault="00F3549D" w:rsidP="00130E03">
            <w:pPr>
              <w:spacing w:after="0"/>
              <w:ind w:left="-32"/>
              <w:rPr>
                <w:i/>
                <w:iCs/>
                <w:noProof/>
              </w:rPr>
            </w:pPr>
            <w:r w:rsidRPr="00B332AA">
              <w:rPr>
                <w:i/>
                <w:iCs/>
                <w:noProof/>
              </w:rPr>
              <w:t>Source (en)</w:t>
            </w:r>
          </w:p>
        </w:tc>
        <w:tc>
          <w:tcPr>
            <w:tcW w:w="5040" w:type="dxa"/>
            <w:vAlign w:val="center"/>
          </w:tcPr>
          <w:p w14:paraId="33AF615F" w14:textId="77777777" w:rsidR="00F3549D" w:rsidRPr="00B332AA" w:rsidRDefault="00F3549D" w:rsidP="0067335F">
            <w:pPr>
              <w:spacing w:after="0"/>
              <w:rPr>
                <w:i/>
                <w:iCs/>
                <w:noProof/>
              </w:rPr>
            </w:pPr>
            <w:r w:rsidRPr="00B332AA">
              <w:rPr>
                <w:i/>
                <w:iCs/>
                <w:noProof/>
              </w:rPr>
              <w:t>Target (fr-fr)</w:t>
            </w:r>
          </w:p>
        </w:tc>
        <w:tc>
          <w:tcPr>
            <w:tcW w:w="432" w:type="dxa"/>
          </w:tcPr>
          <w:p w14:paraId="6A375B4A" w14:textId="77777777" w:rsidR="00F3549D" w:rsidRDefault="00F3549D" w:rsidP="0067335F">
            <w:pPr>
              <w:spacing w:after="0"/>
              <w:rPr>
                <w:i/>
                <w:iCs/>
                <w:noProof/>
              </w:rPr>
            </w:pPr>
          </w:p>
        </w:tc>
        <w:tc>
          <w:tcPr>
            <w:tcW w:w="1440" w:type="dxa"/>
          </w:tcPr>
          <w:p w14:paraId="68B627A8" w14:textId="77777777" w:rsidR="00F3549D" w:rsidRDefault="00F3549D" w:rsidP="0067335F">
            <w:pPr>
              <w:spacing w:after="0"/>
              <w:rPr>
                <w:i/>
                <w:iCs/>
                <w:noProof/>
              </w:rPr>
            </w:pPr>
            <w:r>
              <w:rPr>
                <w:i/>
                <w:iCs/>
                <w:noProof/>
              </w:rPr>
              <w:t>Comment</w:t>
            </w:r>
          </w:p>
          <w:p w14:paraId="2F1C48F3" w14:textId="77777777" w:rsidR="00F3549D" w:rsidRPr="00B332AA" w:rsidRDefault="00F3549D" w:rsidP="0067335F">
            <w:pPr>
              <w:spacing w:after="0"/>
              <w:rPr>
                <w:i/>
                <w:iCs/>
                <w:noProof/>
              </w:rPr>
            </w:pPr>
            <w:r>
              <w:rPr>
                <w:i/>
                <w:iCs/>
                <w:noProof/>
              </w:rPr>
              <w:t xml:space="preserve"> </w:t>
            </w:r>
            <w:r w:rsidRPr="00F56281">
              <w:rPr>
                <w:i/>
                <w:iCs/>
                <w:noProof/>
              </w:rPr>
              <w:t>(read only)</w:t>
            </w:r>
          </w:p>
        </w:tc>
      </w:tr>
    </w:tbl>
    <w:p xmlns:w="http://schemas.openxmlformats.org/wordprocessingml/2006/main" w14:paraId="60E1BE49" w14:textId="77777777" w:rsidR="00142786" w:rsidRDefault="00142786">
      <w:pPr>
        <w:rPr>
          <w:noProof/>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85"/>
        <w:gridCol w:w="447"/>
        <w:gridCol w:w="536"/>
        <w:gridCol w:w="1079"/>
        <w:gridCol w:w="3926"/>
        <w:gridCol w:w="5005"/>
        <w:gridCol w:w="437"/>
        <w:gridCol w:w="1440"/>
      </w:tblGrid>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Large, continental ice sheets in the Northern Hemisphere have grown and retreated many times in the past.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De grands inlandsis continentaux dans l’hémisphère Nord se sont développés et ont reculé de nombreuses fois par le passé.</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We call times with large ice sheets “glacial periods” (or ice ages) and times without large ice sheets “interglacial periods.”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périodes où l’on retrouve ces larges inlandsis sont appelées les « périodes glaciaires » (ou ères glaciaires) et les périodes sans ces inlandsis s’appellent les « périodes interglaciaires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1hvfVpdUWYLhWfZN0_dc6:2</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 most recent glacial period occurred between about 120,000 and 11,500 years ago.</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La période glaciaire la plus récente s’est déroulée entre 120 000 et 11 500 av. J-C.</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1hvfVpdUWYLhWfZN0_dc6:3</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4</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Since then, Earth has been in an interglacial period called the Holocene.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Depuis, la Terre se trouve dans une période interglaciaire appelée Holocène.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1hvfVpdUWYLhWfZN0_dc6:4</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5</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Glacial periods are colder, dustier, and generally drier than interglacial periods.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périodes glaciaires sont plus froides, plus poussiéreuses et souvent plus sèches que les périodes interglaciaires.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1hvfVpdUWYLhWfZN0_dc6:5</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6</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These glacial–interglacial cycles are apparent in many marine and terrestrial paleoclimate records from around the world.</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Ces cycles glaciaires-interglaciaires apparaissent dans de nombreuses archives de paléoclimats terrestres et marins du monde entier.</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1hvfVpdUWYLhWfZN0_dc6:6</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7</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b/>
                <w:noProof/>
                <w:lang w:val="en-US"/>
              </w:rPr>
              <w:t xml:space="preserve">What causes glacial–interglacial cycles?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b/>
                <w:noProof w:val="false"/>
                <w:lang w:val="fr-FR"/>
              </w:rPr>
              <w:t xml:space="preserve">Qu’est-ce qui est à l’origine des cycles glaciaires-interglaciaires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1hvfVpdUWYLhWfZN0_dc6:7</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8</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Variations in Earth’s orbit through time have changed the amount of solar radiation Earth receives in each season.</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variations de l’orbite terrestre au fil du temps ont modifié la quantité d’irradiation solaire que la Terre reçoit chaque saison.</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1hvfVpdUWYLhWfZN0_dc6:8</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9</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Interglacial periods tend to happen during times of more intense summer solar radiation in the Northern Hemisphere.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périodes interglaciaires se passent généralement au cours des périodes d’irradiation solaire plus intense l’été dans l’hémisphère Nord.</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1hvfVpdUWYLhWfZN0_dc6:9</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10</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These glacial–interglacial cycles have waxed and waned throughout the Quaternary Period (the past 2.6 million years).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Ces cycles glaciaires-interglaciaires ont fluctué au cours du Quaternaire (les dernières 2,6 millions d’années).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1hvfVpdUWYLhWfZN0_dc6:10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Since the middle Quaternary, glacial–interglacial cycles have had a frequency of about 100,000 years (Lisiecki and Raymo 2005).</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Depuis le milieu du Quaternaire, les cycles glaciaires-interglaciaires ont une fréquence d’environ 100 000 ans (Lisiecki et Raymo, 2005).</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1hvfVpdUWYLhWfZN0_dc6:11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In the solar radiation time series, cycles of this length (known as “eccentricity”) are present but are weaker than cycles lasting about 23,000 years (which are called “precession of the equinoxes”).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En période d’irradiation solaire, les cycles de cette durée (connus sous le nom d’« excentricité ») sont présents mais sont plus faibles que des cycles qui durent environ 23 000 ans (nommés « précession des équinoxes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1hvfVpdUWYLhWfZN0_dc6:12</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i/>
                <w:noProof/>
                <w:lang w:val="en-US"/>
              </w:rPr>
              <w:t xml:space="preserve">Comparison between summer ice coverage from 18,000 years BP (see, for example, Peltier 1994) and modern day observations.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i/>
                <w:noProof w:val="false"/>
                <w:lang w:val="fr-FR"/>
              </w:rPr>
              <w:t xml:space="preserve">Comparaison entre la couche de glace en été il y a 18 000 ans (voir, par exemple, Peltier, 1994) et les observations actuelles.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1hvfVpdUWYLhWfZN0_dc6:13</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14</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i/>
                <w:noProof/>
                <w:lang w:val="en-US"/>
              </w:rPr>
              <w:t xml:space="preserve">Note that when more water is locked up in ice, more land is exposed due to lower sea levels.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i/>
                <w:noProof w:val="false"/>
                <w:lang w:val="fr-FR"/>
              </w:rPr>
              <w:t xml:space="preserve">Il faut savoir que, plus il y a d’eau enfermée dans la glace, plus la terre est exposée à cause du niveau de la mer plus bas.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1hvfVpdUWYLhWfZN0_dc6:14</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15</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Source: </w:t>
            </w:r>
            <w:r>
              <w:rPr>
                <w:noProof/>
                <w:lang w:val="en-us"/>
              </w:rPr>
              <w:t xml:space="preserve">{1&gt;</w:t>
            </w:r>
            <w:r>
              <w:rPr>
                <w:noProof/>
                <w:lang w:val="en-US"/>
              </w:rPr>
              <w:t xml:space="preserve">https://www.ncei.noaa.gov/sites/default/files/2021-11/1%20Glacial-Interglacial%20Cycles-Final-OCT%202021.pdf</w:t>
            </w:r>
            <w:r>
              <w:rPr>
                <w:noProof/>
                <w:lang w:val="en-us"/>
              </w:rPr>
              <w:t xml:space="preserve">&lt;1}</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Source : </w:t>
            </w:r>
            <w:r>
              <w:rPr>
                <w:noProof w:val="false"/>
                <w:lang w:val="en-us"/>
              </w:rPr>
              <w:t xml:space="preserve">{1&gt;</w:t>
            </w:r>
            <w:r>
              <w:rPr>
                <w:noProof w:val="false"/>
                <w:lang w:val="fr-FR"/>
              </w:rPr>
              <w:t xml:space="preserve">https://www.ncei.noaa.gov/sites/default/files/2021-11/1%20Glacial-Interglacial%20Cycles-Final-OCT%202021.pdf</w:t>
            </w:r>
            <w:r>
              <w:rPr>
                <w:noProof w:val="false"/>
                <w:lang w:val="en-us"/>
              </w:rPr>
              <w:t xml:space="preserve">&lt;1}</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1hvfVpdUWYLhWfZN0_dc6:15</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16</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Wordcount: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Mots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1hvfVpdUWYLhWfZN0_dc6:16</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17</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234</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234</w:t>
            </w:r>
            <w:proofErr w:type="spellEnd"/>
          </w:p>
        </w:tc>
        <w:tc>
          <w:tcPr>
            <w:tcW w:w="437" w:type="dxa"/>
            <w:shd w:val="clear" w:color="auto" w:fill="92D050"/>
            <w:vAlign w:val="center"/>
          </w:tcPr>
          <w:p w14:paraId="66A3D941" w14:textId="77777777" w:rsidR="00F3549D" w:rsidRDefault="00F3549D" w:rsidP="004114C1">
            <w:pPr>
              <w:pStyle w:val="target"/>
              <w:jc w:val="center"/>
            </w:pPr>
            <w:r>
              <w:rPr>
                <w:sz w:val="16"/>
                <w:szCs w:val="16"/>
                <w:color w:val="000000"/>
                <w:noProof/>
              </w:rPr>
              <w:t xml:space="preserve">100</w:t>
            </w:r>
          </w:p>
        </w:tc>
        <w:tc>
          <w:tcPr>
            <w:tcW w:w="1440" w:type="dxa"/>
          </w:tcPr>
          <w:p w14:paraId="36D27033" w14:textId="77777777" w:rsidR="00F3549D" w:rsidRDefault="00F3549D" w:rsidP="005304C0">
            <w:pPr>
              <w:pStyle w:val="target"/>
              <w:rPr>
                <w:noProof w:val="false"/>
              </w:rPr>
            </w:pPr>
            <w:proofErr w:type="spellStart"/>
            <w:proofErr w:type="spellEnd"/>
          </w:p>
        </w:tc>
      </w:tr>
    </w:tbl>
    <w:p xmlns:w="http://schemas.openxmlformats.org/wordprocessingml/2006/main" w14:paraId="736A067B" w14:textId="77777777" w:rsidR="003068F8" w:rsidRPr="00B7524C" w:rsidRDefault="003068F8" w:rsidP="00166D25">
      <w:pPr>
        <w:rPr>
          <w:noProof/>
        </w:rPr>
      </w:pPr>
    </w:p>
    <w:sectPr xmlns:w="http://schemas.openxmlformats.org/wordprocessingml/2006/main" w:rsidR="003068F8" w:rsidRPr="00B7524C" w:rsidSect="008628A6">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8668407">
    <w:abstractNumId w:val="1"/>
  </w:num>
  <w:num w:numId="2" w16cid:durableId="160596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CE1"/>
    <w:rsid w:val="00007095"/>
    <w:rsid w:val="000079C5"/>
    <w:rsid w:val="00010B79"/>
    <w:rsid w:val="00025A25"/>
    <w:rsid w:val="000316DD"/>
    <w:rsid w:val="00051336"/>
    <w:rsid w:val="00052880"/>
    <w:rsid w:val="000567DE"/>
    <w:rsid w:val="0007621F"/>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307F9"/>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1D15"/>
    <w:rsid w:val="005960C1"/>
    <w:rsid w:val="005B0AF2"/>
    <w:rsid w:val="006401BF"/>
    <w:rsid w:val="0065749E"/>
    <w:rsid w:val="00662658"/>
    <w:rsid w:val="0067335F"/>
    <w:rsid w:val="006F1C78"/>
    <w:rsid w:val="00715E66"/>
    <w:rsid w:val="00723D8C"/>
    <w:rsid w:val="00727B03"/>
    <w:rsid w:val="0073498A"/>
    <w:rsid w:val="00742C87"/>
    <w:rsid w:val="00755792"/>
    <w:rsid w:val="00790FDE"/>
    <w:rsid w:val="007D336F"/>
    <w:rsid w:val="007E72CB"/>
    <w:rsid w:val="007F120E"/>
    <w:rsid w:val="0081425E"/>
    <w:rsid w:val="0081680B"/>
    <w:rsid w:val="00831779"/>
    <w:rsid w:val="008628A6"/>
    <w:rsid w:val="0086544D"/>
    <w:rsid w:val="008719B7"/>
    <w:rsid w:val="00877A56"/>
    <w:rsid w:val="008D3703"/>
    <w:rsid w:val="008F06FB"/>
    <w:rsid w:val="00912CE1"/>
    <w:rsid w:val="0095054C"/>
    <w:rsid w:val="00960674"/>
    <w:rsid w:val="00974D7C"/>
    <w:rsid w:val="009865A1"/>
    <w:rsid w:val="009A2A04"/>
    <w:rsid w:val="009B1BB2"/>
    <w:rsid w:val="009B6C9F"/>
    <w:rsid w:val="009F16FD"/>
    <w:rsid w:val="00A167A8"/>
    <w:rsid w:val="00A3189C"/>
    <w:rsid w:val="00A40AAE"/>
    <w:rsid w:val="00A43E76"/>
    <w:rsid w:val="00A515F5"/>
    <w:rsid w:val="00A725C9"/>
    <w:rsid w:val="00A80F0F"/>
    <w:rsid w:val="00A833BB"/>
    <w:rsid w:val="00A912C3"/>
    <w:rsid w:val="00AA166B"/>
    <w:rsid w:val="00AC13DC"/>
    <w:rsid w:val="00AD2E15"/>
    <w:rsid w:val="00AF7090"/>
    <w:rsid w:val="00B332AA"/>
    <w:rsid w:val="00B40DB5"/>
    <w:rsid w:val="00B43030"/>
    <w:rsid w:val="00B559B2"/>
    <w:rsid w:val="00B7524C"/>
    <w:rsid w:val="00BA192A"/>
    <w:rsid w:val="00BC762A"/>
    <w:rsid w:val="00BC7D98"/>
    <w:rsid w:val="00BD2EA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C58C0"/>
    <w:rsid w:val="00ED0062"/>
    <w:rsid w:val="00EF3F8E"/>
    <w:rsid w:val="00F004B4"/>
    <w:rsid w:val="00F00E9C"/>
    <w:rsid w:val="00F01B98"/>
    <w:rsid w:val="00F17EAB"/>
    <w:rsid w:val="00F27C9B"/>
    <w:rsid w:val="00F3549D"/>
    <w:rsid w:val="00F36B39"/>
    <w:rsid w:val="00F55003"/>
    <w:rsid w:val="00F56281"/>
    <w:rsid w:val="00F70888"/>
    <w:rsid w:val="00F71D79"/>
    <w:rsid w:val="00F90EA1"/>
    <w:rsid w:val="00F92B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95FF"/>
  <w15:docId w15:val="{F2E56708-94CD-4F04-89C9-914E8B2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F8"/>
    <w:pPr>
      <w:spacing w:after="6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39"/>
    <w:pPr>
      <w:ind w:left="720"/>
      <w:contextualSpacing/>
    </w:pPr>
  </w:style>
  <w:style w:type="character" w:styleId="Hyperlink">
    <w:name w:val="Hyperlink"/>
    <w:basedOn w:val="DefaultParagraphFont"/>
    <w:uiPriority w:val="99"/>
    <w:unhideWhenUsed/>
    <w:rsid w:val="00E35FF0"/>
    <w:rPr>
      <w:color w:val="0000FF" w:themeColor="hyperlink"/>
      <w:u w:val="single"/>
    </w:rPr>
  </w:style>
  <w:style w:type="character" w:styleId="FollowedHyperlink">
    <w:name w:val="FollowedHyperlink"/>
    <w:basedOn w:val="DefaultParagraphFont"/>
    <w:uiPriority w:val="99"/>
    <w:semiHidden/>
    <w:unhideWhenUsed/>
    <w:rsid w:val="00025A25"/>
    <w:rPr>
      <w:color w:val="800080" w:themeColor="followedHyperlink"/>
      <w:u w:val="single"/>
    </w:rPr>
  </w:style>
  <w:style w:type="paragraph" w:customStyle="1" w:styleId="source">
    <w:name w:val="source"/>
    <w:basedOn w:val="Normal"/>
    <w:qFormat/>
    <w:rsid w:val="005304C0"/>
    <w:pPr>
      <w:spacing w:after="0"/>
    </w:pPr>
    <w:rPr>
      <w:noProof/>
    </w:rPr>
  </w:style>
  <w:style w:type="paragraph" w:customStyle="1" w:styleId="target">
    <w:name w:val="target"/>
    <w:basedOn w:val="Normal"/>
    <w:qFormat/>
    <w:rsid w:val="005304C0"/>
    <w:pPr>
      <w:spacing w:after="0"/>
    </w:pPr>
  </w:style>
  <w:style w:type="character" w:styleId="PlaceholderText">
    <w:name w:val="Placeholder Text"/>
    <w:basedOn w:val="DefaultParagraphFont"/>
    <w:uiPriority w:val="99"/>
    <w:semiHidden/>
    <w:rsid w:val="00AC13DC"/>
    <w:rPr>
      <w:color w:val="808080"/>
    </w:rPr>
  </w:style>
  <w:style w:type="paragraph" w:styleId="BalloonText">
    <w:name w:val="Balloon Text"/>
    <w:basedOn w:val="Normal"/>
    <w:link w:val="BalloonTextChar"/>
    <w:uiPriority w:val="99"/>
    <w:semiHidden/>
    <w:unhideWhenUsed/>
    <w:rsid w:val="00AC13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1917545-E838-4E96-85E8-0C85684632F8}"/>
      </w:docPartPr>
      <w:docPartBody>
        <w:p w:rsidR="00EA7349" w:rsidRDefault="007806FE">
          <w:r w:rsidRPr="001215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6FE"/>
    <w:rsid w:val="000D5372"/>
    <w:rsid w:val="0025191B"/>
    <w:rsid w:val="003B4177"/>
    <w:rsid w:val="007806FE"/>
    <w:rsid w:val="00AE1158"/>
    <w:rsid w:val="00B548B7"/>
    <w:rsid w:val="00B859C7"/>
    <w:rsid w:val="00DA5848"/>
    <w:rsid w:val="00EA7349"/>
    <w:rsid w:val="00FC5789"/>
    <w:rsid w:val="00FE5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2165-FE65-487C-BE7B-5E20C709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Tomas Belusky</cp:lastModifiedBy>
  <cp:revision>5</cp:revision>
  <dcterms:created xsi:type="dcterms:W3CDTF">2020-10-22T08:50:00Z</dcterms:created>
  <dcterms:modified xsi:type="dcterms:W3CDTF">2022-12-12T08:38:00Z</dcterms:modified>
</cp:coreProperties>
</file>