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16se w16cid w16 w16cex w16sdtdh wp14">
  <w:body>
    <w:tbl xmlns:w="http://schemas.openxmlformats.org/wordprocessingml/2006/main">
      <w:tblPr>
        <w:tblStyle w:val="TableGrid"/>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14:paraId="339906B6" w14:textId="77777777" w:rsidTr="00B43030">
        <w:trPr>
          <w:trHeight w:val="239"/>
        </w:trPr>
        <w:tc>
          <w:tcPr>
            <w:tcW w:w="13041" w:type="dxa"/>
            <w:shd w:val="clear" w:color="auto" w:fill="auto"/>
            <w:tcMar>
              <w:top w:w="170" w:type="dxa"/>
              <w:left w:w="170" w:type="dxa"/>
              <w:bottom w:w="170" w:type="dxa"/>
              <w:right w:w="170" w:type="dxa"/>
            </w:tcMar>
          </w:tcPr>
          <w:p w14:paraId="6B2A40D4" w14:textId="77777777" w:rsidR="009F16FD"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w:t>
            </w:r>
          </w:p>
          <w:p w14:paraId="6C708486" w14:textId="6BEFD779" w:rsidR="000B146B" w:rsidRPr="00A167A8" w:rsidRDefault="009F16FD" w:rsidP="00A167A8">
            <w:pPr>
              <w:rPr>
                <w:i/>
                <w:noProof/>
              </w:rPr>
            </w:pPr>
            <w:r w:rsidRPr="009F16FD">
              <w:rPr>
                <w:i/>
                <w:noProof/>
              </w:rPr>
              <w:t>Segments with a dark grey background are locked and edits made in these segments will not be uploaded.</w:t>
            </w:r>
          </w:p>
        </w:tc>
      </w:tr>
    </w:tbl>
    <w:p xmlns:w="http://schemas.openxmlformats.org/wordprocessingml/2006/main" w14:paraId="10A34711" w14:textId="77777777" w:rsidR="00E35FF0" w:rsidRPr="00350E8C" w:rsidRDefault="00E35FF0">
      <w:pPr>
        <w:rPr>
          <w:noProof/>
          <w:sz w:val="2"/>
          <w:szCs w:val="2"/>
        </w:rPr>
      </w:pPr>
    </w:p>
    <w:tbl xmlns:w="http://schemas.openxmlformats.org/wordprocessingml/2006/main">
      <w:tblPr>
        <w:tblStyle w:val="TableGrid"/>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14:paraId="324FEE1B" w14:textId="77777777" w:rsidTr="00350E8C">
        <w:trPr>
          <w:trHeight w:val="43"/>
        </w:trPr>
        <w:tc>
          <w:tcPr>
            <w:tcW w:w="440" w:type="dxa"/>
            <w:shd w:val="clear" w:color="auto" w:fill="D9D9D9" w:themeFill="background1" w:themeFillShade="D9"/>
            <w:tcMar>
              <w:left w:w="57" w:type="dxa"/>
              <w:right w:w="57" w:type="dxa"/>
            </w:tcMar>
            <w:vAlign w:val="center"/>
          </w:tcPr>
          <w:sdt>
            <w:sdtPr>
              <w:lock w:val="sdtContentLocked"/>
            </w:sdtPr>
            <w:sdtContent>
              <w:p w14:paraId="62EA0D92" w14:textId="77777777" w:rsidR="00EA1C68" w:rsidRPr="008628A6" w:rsidRDefault="00EA1C68" w:rsidP="00D8304C">
                <w:pPr>
                  <w:rPr>
                    <w:noProof/>
                    <w:sz w:val="2"/>
                    <w:szCs w:val="2"/>
                  </w:rPr>
                </w:pPr>
                <w:r>
                  <w:rPr>
                    <w:sz w:val="2"/>
                    <w:szCs w:val="2"/>
                    <w:noProof/>
                  </w:rPr>
                  <w:t xml:space="preserve">en</w:t>
                </w:r>
              </w:p>
            </w:sdtContent>
          </w:sdt>
        </w:tc>
        <w:tc>
          <w:tcPr>
            <w:tcW w:w="2878" w:type="dxa"/>
            <w:shd w:val="clear" w:color="auto" w:fill="D9D9D9" w:themeFill="background1" w:themeFillShade="D9"/>
          </w:tcPr>
          <w:sdt>
            <w:sdtPr>
              <w:lock w:val="sdtContentLocked"/>
            </w:sdtPr>
            <w:sdtContent>
              <w:p w14:paraId="4817954C" w14:textId="77777777" w:rsidR="00EA1C68" w:rsidRPr="008628A6" w:rsidRDefault="00EA1C68" w:rsidP="00D8304C">
                <w:pPr>
                  <w:rPr>
                    <w:noProof/>
                    <w:sz w:val="2"/>
                    <w:szCs w:val="2"/>
                  </w:rPr>
                </w:pPr>
                <w:r>
                  <w:rPr>
                    <w:sz w:val="2"/>
                    <w:szCs w:val="2"/>
                    <w:noProof/>
                  </w:rPr>
                  <w:t xml:space="preserve">fr-fr</w:t>
                </w:r>
              </w:p>
            </w:sdtContent>
          </w:sdt>
        </w:tc>
        <w:tc>
          <w:tcPr>
            <w:tcW w:w="3208" w:type="dxa"/>
            <w:shd w:val="clear" w:color="auto" w:fill="D9D9D9" w:themeFill="background1" w:themeFillShade="D9"/>
          </w:tcPr>
          <w:sdt>
            <w:sdtPr>
              <w:lock w:val="sdtContentLocked"/>
            </w:sdtPr>
            <w:sdtContent>
              <w:p w14:paraId="4BC756BB" w14:textId="77777777" w:rsidR="00EA1C68" w:rsidRPr="008628A6" w:rsidRDefault="00EA1C68" w:rsidP="00D8304C">
                <w:pPr>
                  <w:rPr>
                    <w:noProof/>
                    <w:sz w:val="2"/>
                    <w:szCs w:val="2"/>
                  </w:rPr>
                </w:pPr>
                <w:r>
                  <w:rPr>
                    <w:sz w:val="2"/>
                    <w:szCs w:val="2"/>
                    <w:noProof/>
                  </w:rPr>
                  <w:t xml:space="preserve">1</w:t>
                </w:r>
              </w:p>
            </w:sdtContent>
          </w:sdt>
        </w:tc>
        <w:tc>
          <w:tcPr>
            <w:tcW w:w="1559" w:type="dxa"/>
            <w:shd w:val="clear" w:color="auto" w:fill="D9D9D9" w:themeFill="background1" w:themeFillShade="D9"/>
            <w:tcMar>
              <w:left w:w="57" w:type="dxa"/>
              <w:right w:w="57" w:type="dxa"/>
            </w:tcMar>
            <w:vAlign w:val="center"/>
          </w:tcPr>
          <w:sdt>
            <w:sdtPr>
              <w:lock w:val="sdtContentLocked"/>
            </w:sdtPr>
            <w:sdtContent>
              <w:p w14:paraId="395720C5" w14:textId="77777777" w:rsidR="00EA1C68" w:rsidRPr="008628A6" w:rsidRDefault="00EA1C68" w:rsidP="00D8304C">
                <w:pPr>
                  <w:rPr>
                    <w:noProof/>
                    <w:sz w:val="2"/>
                    <w:szCs w:val="2"/>
                  </w:rPr>
                </w:pPr>
                <w:r>
                  <w:rPr>
                    <w:sz w:val="2"/>
                    <w:szCs w:val="2"/>
                    <w:noProof/>
                  </w:rPr>
                  <w:t xml:space="preserve">converter2</w:t>
                </w:r>
              </w:p>
            </w:sdtContent>
          </w:sdt>
        </w:tc>
        <w:tc>
          <w:tcPr>
            <w:tcW w:w="2693" w:type="dxa"/>
            <w:shd w:val="clear" w:color="auto" w:fill="D9D9D9" w:themeFill="background1" w:themeFillShade="D9"/>
            <w:tcMar>
              <w:left w:w="57" w:type="dxa"/>
              <w:right w:w="57" w:type="dxa"/>
            </w:tcMar>
            <w:vAlign w:val="center"/>
          </w:tcPr>
          <w:sdt>
            <w:sdtPr>
              <w:lock w:val="sdtContentLocked"/>
            </w:sdtPr>
            <w:sdtContent>
              <w:p w14:paraId="5E91016D" w14:textId="77777777" w:rsidR="00EA1C68" w:rsidRPr="008628A6" w:rsidRDefault="00EA1C68" w:rsidP="00D8304C">
                <w:pPr>
                  <w:rPr>
                    <w:noProof/>
                    <w:sz w:val="2"/>
                    <w:szCs w:val="2"/>
                  </w:rPr>
                </w:pPr>
                <w:r>
                  <w:rPr>
                    <w:sz w:val="2"/>
                    <w:szCs w:val="2"/>
                    <w:noProof/>
                  </w:rPr>
                  <w:t xml:space="preserve">Memsource</w:t>
                </w:r>
              </w:p>
            </w:sdtContent>
          </w:sdt>
        </w:tc>
        <w:tc>
          <w:tcPr>
            <w:tcW w:w="993" w:type="dxa"/>
            <w:shd w:val="clear" w:color="auto" w:fill="D9D9D9" w:themeFill="background1" w:themeFillShade="D9"/>
            <w:tcMar>
              <w:left w:w="57" w:type="dxa"/>
              <w:right w:w="57" w:type="dxa"/>
            </w:tcMar>
            <w:vAlign w:val="center"/>
          </w:tcPr>
          <w:p w14:paraId="7BF0A6F5" w14:textId="77777777"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placeholder>
                <w:docPart w:val="DefaultPlaceholder_1082065158"/>
              </w:placeholder>
              <w:text/>
            </w:sdtPr>
            <w:sdtEndPr/>
            <w:sdtContent>
              <w:p w14:paraId="5A420894" w14:textId="77777777" w:rsidR="00EA1C68" w:rsidRPr="008628A6" w:rsidRDefault="00EA1C68" w:rsidP="003F0680">
                <w:pPr>
                  <w:jc w:val="center"/>
                  <w:rPr>
                    <w:noProof/>
                    <w:sz w:val="2"/>
                    <w:szCs w:val="2"/>
                  </w:rPr>
                </w:pPr>
                <w:r w:rsidRPr="008628A6">
                  <w:rPr>
                    <w:noProof/>
                    <w:sz w:val="2"/>
                    <w:szCs w:val="2"/>
                  </w:rPr>
                  <w:t>Memsource</w:t>
                </w:r>
              </w:p>
            </w:sdtContent>
          </w:sdt>
        </w:tc>
      </w:tr>
    </w:tbl>
    <w:p xmlns:w="http://schemas.openxmlformats.org/wordprocessingml/2006/main" w14:paraId="3F6E6191" w14:textId="77777777" w:rsidR="004D1277" w:rsidRPr="00350E8C" w:rsidRDefault="004D1277">
      <w:pPr>
        <w:rPr>
          <w:noProof/>
          <w:sz w:val="16"/>
          <w:szCs w:val="16"/>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3"/>
        <w:gridCol w:w="433"/>
        <w:gridCol w:w="537"/>
        <w:gridCol w:w="5008"/>
        <w:gridCol w:w="5009"/>
        <w:gridCol w:w="429"/>
        <w:gridCol w:w="1436"/>
      </w:tblGrid>
      <w:tr w:rsidR="00F3549D" w:rsidRPr="00B332AA" w14:paraId="6B2761D9" w14:textId="77777777" w:rsidTr="00F27C9B">
        <w:trPr>
          <w:trHeight w:val="260"/>
        </w:trPr>
        <w:tc>
          <w:tcPr>
            <w:tcW w:w="203" w:type="dxa"/>
            <w:vAlign w:val="center"/>
          </w:tcPr>
          <w:p w14:paraId="08A1D6C3" w14:textId="77777777" w:rsidR="00F3549D" w:rsidRPr="00B332AA" w:rsidRDefault="00F3549D" w:rsidP="00ED0062">
            <w:pPr>
              <w:spacing w:after="0"/>
              <w:jc w:val="center"/>
              <w:rPr>
                <w:i/>
                <w:iCs/>
                <w:noProof/>
                <w:sz w:val="14"/>
                <w:szCs w:val="14"/>
              </w:rPr>
            </w:pPr>
            <w:r w:rsidRPr="00B332AA">
              <w:rPr>
                <w:i/>
                <w:iCs/>
                <w:noProof/>
                <w:sz w:val="14"/>
                <w:szCs w:val="14"/>
              </w:rPr>
              <w:t>ID</w:t>
            </w:r>
          </w:p>
        </w:tc>
        <w:tc>
          <w:tcPr>
            <w:tcW w:w="435" w:type="dxa"/>
            <w:vAlign w:val="center"/>
          </w:tcPr>
          <w:p w14:paraId="4263175C" w14:textId="44748E39" w:rsidR="00F3549D" w:rsidRPr="00F3549D" w:rsidRDefault="00F3549D" w:rsidP="00F3549D">
            <w:pPr>
              <w:spacing w:after="0"/>
              <w:jc w:val="center"/>
              <w:rPr>
                <w:i/>
                <w:iCs/>
                <w:noProof/>
                <w:sz w:val="14"/>
                <w:szCs w:val="14"/>
              </w:rPr>
            </w:pPr>
            <w:r w:rsidRPr="00F3549D">
              <w:rPr>
                <w:i/>
                <w:iCs/>
                <w:noProof/>
                <w:sz w:val="14"/>
                <w:szCs w:val="14"/>
              </w:rPr>
              <w:t>I</w:t>
            </w:r>
            <w:r w:rsidR="008719B7">
              <w:rPr>
                <w:i/>
                <w:iCs/>
                <w:noProof/>
                <w:sz w:val="14"/>
                <w:szCs w:val="14"/>
              </w:rPr>
              <w:t>CU</w:t>
            </w:r>
          </w:p>
        </w:tc>
        <w:tc>
          <w:tcPr>
            <w:tcW w:w="539" w:type="dxa"/>
            <w:shd w:val="clear" w:color="auto" w:fill="auto"/>
            <w:tcMar>
              <w:left w:w="57" w:type="dxa"/>
              <w:right w:w="57" w:type="dxa"/>
            </w:tcMar>
            <w:vAlign w:val="center"/>
          </w:tcPr>
          <w:p w14:paraId="43B8BD92" w14:textId="2EB0741C" w:rsidR="00F3549D" w:rsidRPr="00B332AA" w:rsidRDefault="00F3549D" w:rsidP="00ED0062">
            <w:pPr>
              <w:spacing w:after="0"/>
              <w:jc w:val="center"/>
              <w:rPr>
                <w:i/>
                <w:iCs/>
                <w:noProof/>
              </w:rPr>
            </w:pPr>
            <w:r w:rsidRPr="00B332AA">
              <w:rPr>
                <w:i/>
                <w:iCs/>
                <w:noProof/>
              </w:rPr>
              <w:t>#</w:t>
            </w:r>
          </w:p>
        </w:tc>
        <w:tc>
          <w:tcPr>
            <w:tcW w:w="5038" w:type="dxa"/>
            <w:shd w:val="clear" w:color="auto" w:fill="auto"/>
            <w:tcMar>
              <w:left w:w="57" w:type="dxa"/>
              <w:right w:w="57" w:type="dxa"/>
            </w:tcMar>
            <w:vAlign w:val="center"/>
          </w:tcPr>
          <w:p w14:paraId="214D75DD" w14:textId="77777777" w:rsidR="00F3549D" w:rsidRPr="00B332AA" w:rsidRDefault="00F3549D" w:rsidP="00130E03">
            <w:pPr>
              <w:spacing w:after="0"/>
              <w:ind w:left="-32"/>
              <w:rPr>
                <w:i/>
                <w:iCs/>
                <w:noProof/>
              </w:rPr>
            </w:pPr>
            <w:r w:rsidRPr="00B332AA">
              <w:rPr>
                <w:i/>
                <w:iCs/>
                <w:noProof/>
              </w:rPr>
              <w:t>Source (en)</w:t>
            </w:r>
          </w:p>
        </w:tc>
        <w:tc>
          <w:tcPr>
            <w:tcW w:w="5040" w:type="dxa"/>
            <w:vAlign w:val="center"/>
          </w:tcPr>
          <w:p w14:paraId="33AF615F" w14:textId="77777777" w:rsidR="00F3549D" w:rsidRPr="00B332AA" w:rsidRDefault="00F3549D" w:rsidP="0067335F">
            <w:pPr>
              <w:spacing w:after="0"/>
              <w:rPr>
                <w:i/>
                <w:iCs/>
                <w:noProof/>
              </w:rPr>
            </w:pPr>
            <w:r w:rsidRPr="00B332AA">
              <w:rPr>
                <w:i/>
                <w:iCs/>
                <w:noProof/>
              </w:rPr>
              <w:t>Target (fr-fr)</w:t>
            </w:r>
          </w:p>
        </w:tc>
        <w:tc>
          <w:tcPr>
            <w:tcW w:w="432" w:type="dxa"/>
          </w:tcPr>
          <w:p w14:paraId="6A375B4A" w14:textId="77777777" w:rsidR="00F3549D" w:rsidRDefault="00F3549D" w:rsidP="0067335F">
            <w:pPr>
              <w:spacing w:after="0"/>
              <w:rPr>
                <w:i/>
                <w:iCs/>
                <w:noProof/>
              </w:rPr>
            </w:pPr>
          </w:p>
        </w:tc>
        <w:tc>
          <w:tcPr>
            <w:tcW w:w="1440" w:type="dxa"/>
          </w:tcPr>
          <w:p w14:paraId="68B627A8" w14:textId="77777777" w:rsidR="00F3549D" w:rsidRDefault="00F3549D" w:rsidP="0067335F">
            <w:pPr>
              <w:spacing w:after="0"/>
              <w:rPr>
                <w:i/>
                <w:iCs/>
                <w:noProof/>
              </w:rPr>
            </w:pPr>
            <w:r>
              <w:rPr>
                <w:i/>
                <w:iCs/>
                <w:noProof/>
              </w:rPr>
              <w:t>Comment</w:t>
            </w:r>
          </w:p>
          <w:p w14:paraId="2F1C48F3" w14:textId="77777777" w:rsidR="00F3549D" w:rsidRPr="00B332AA" w:rsidRDefault="00F3549D" w:rsidP="0067335F">
            <w:pPr>
              <w:spacing w:after="0"/>
              <w:rPr>
                <w:i/>
                <w:iCs/>
                <w:noProof/>
              </w:rPr>
            </w:pPr>
            <w:r>
              <w:rPr>
                <w:i/>
                <w:iCs/>
                <w:noProof/>
              </w:rPr>
              <w:t xml:space="preserve"> </w:t>
            </w:r>
            <w:r w:rsidRPr="00F56281">
              <w:rPr>
                <w:i/>
                <w:iCs/>
                <w:noProof/>
              </w:rPr>
              <w:t>(read only)</w:t>
            </w:r>
          </w:p>
        </w:tc>
      </w:tr>
    </w:tbl>
    <w:p xmlns:w="http://schemas.openxmlformats.org/wordprocessingml/2006/main" w14:paraId="60E1BE49" w14:textId="77777777" w:rsidR="00142786" w:rsidRDefault="00142786">
      <w:pPr>
        <w:rPr>
          <w:noProof/>
        </w:rPr>
      </w:pPr>
    </w:p>
    <w:tbl xmlns:w="http://schemas.openxmlformats.org/wordprocessingml/2006/main">
      <w:tblPr>
        <w:tblStyle w:val="TableGrid"/>
        <w:tblW w:w="130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85"/>
        <w:gridCol w:w="447"/>
        <w:gridCol w:w="536"/>
        <w:gridCol w:w="1079"/>
        <w:gridCol w:w="3926"/>
        <w:gridCol w:w="5005"/>
        <w:gridCol w:w="437"/>
        <w:gridCol w:w="1440"/>
      </w:tblGrid>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R79QlASM7lyQYD0N0_dc6:0:0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 thunderstorm, also known as an electrical storm, a lightning storm, thundershower or simply a storm is a form of weather characterized by the presence of lightning and its acoustic effect on the Earth’s atmosphere known as thunder.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Un orage, aussi connu sous le nom de tempête électrique, d’orage électrique, d’averse orageuse ou simplement de tempête, est un phénomène météorologique caractérisé par la présence d’éclairs et de leurs effets acoustiques dans l’atmosphère de la Terre, connus sous le nom de tonnerre. </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R79QlASM7lyQYD0N0_dc6:0:1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 meteorologically assigned cloud type associated with the thunderstorm is the cumulonimbus.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 type de nuage météorologiquement associé à l’orage est le cumulonimbus.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Thunderstorms are usually accompanied by strong winds, heavy rain and sometimes snow, sleet, hail, or no precipitation at all.</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orages sont souvent accompagnés de vents violents, d’averses et parfois de neige, de grésil, de grêle ou d’aucune précipitation.</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R79QlASM7lyQYD0N0_dc6:2</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4</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Those which cause hail to fall are known as hailstorms.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orages accompagnés d’une précipitation de grêle s’appellent les tempêtes de grêle.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R79QlASM7lyQYD0N0_dc6:3</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5</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Thunderstorms may line up in a series or rainband, known as a squall line.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orages peuvent s’aligner en série ou en bandes de précipitations, connues sous le nom de lignes de grains.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R79QlASM7lyQYD0N0_dc6:4</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6</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Strong or severe thunderstorms may rotate, known as supercells.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De forts ou puissants orages peuvent tourner, ce sont des supercellules orageuses.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R79QlASM7lyQYD0N0_dc6:5</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7</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While most thunderstorms move with the mean wind flow through the layer of the troposphere that they occupy, vertical wind shear causes a deviation in their course at a right angle to the wind shear direction.</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Bien que la plupart des orages se déplacent avec le vent moyen à travers la couche de la troposphère qu’ils occupent, les cisaillements du vent verticaux peuvent entraîner une déviation de leur trajectoire, perpendiculairement à la direction du cisaillement du vent.</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R79QlASM7lyQYD0N0_dc6:6</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8</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Thunderstorms result from the rapid upward movement of warm, moist air.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orages sont issus d’un mouvement rapide et montant d’air chaud et humide.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R79QlASM7lyQYD0N0_dc6:7</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9</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They can occur inside warm, moist air masses and at fronts.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Ils peuvent se développer dans des masses d’air chaudes et humides et au niveau des fronts.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R79QlASM7lyQYD0N0_dc6:8</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10</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As the warm, moist air moves upward, its cools, condenses, and forms cumulonimbus clouds that can reach heights of over 20 km.</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Lorsque l’air chaud et humide se déplace vers le haut, il se rafraîchit, condense et forme des cumulonimbus qui peuvent atteindre une hauteur supérieure à 20 km.</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R79QlASM7lyQYD0N0_dc6:9</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11</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As the rising air reaches its dew point, water droplets and ice form and begin falling the long distance through the clouds towards the Earth’s surface.</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Lorsque l’air montant atteint son point de rosée, des gouttes d’eau et de la glace se forment et commencent à tomber sur la longue distance à travers les nuages vers la surface de la Terre.</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R79QlASM7lyQYD0N0_dc6:10</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12</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As the droplets fall, they collide with other droplets and become larger.</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En tombant, les gouttes percutent d’autres gouttes et elles deviennent plus importantes.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r w:rsidR="00F3549D" w:rsidRPr="00B7524C" w14:paraId="42272959" w14:textId="77777777" w:rsidTr="00F27C9B">
        <w:trPr>
          <w:trHeight w:val="156"/>
          <w:hidden/>
        </w:trPr>
        <w:tc>
          <w:tcPr>
            <w:tcW w:w="185" w:type="dxa"/>
            <w:tcBorders>
              <w:right w:val="single" w:sz="4" w:space="0" w:color="BFBFBF" w:themeColor="background1" w:themeShade="BF"/>
            </w:tcBorders>
            <w:shd w:val="clear" w:color="auto" w:fill="D9D9D9" w:themeFill="background1" w:themeFillShade="D9"/>
            <w:noWrap/>
            <w:vAlign w:val="center"/>
          </w:tcPr>
          <w:p w14:paraId="4F4DEB7B" w14:textId="77777777" w:rsidR="00F3549D" w:rsidRPr="00B332AA" w:rsidRDefault="00F3549D" w:rsidP="00F70888">
            <w:pPr>
              <w:spacing w:after="0"/>
              <w:jc w:val="center"/>
              <w:rPr>
                <w:rFonts w:ascii="Arial Narrow" w:hAnsi="Arial Narrow"/>
                <w:noProof/>
                <w:vanish/>
                <w:sz w:val="2"/>
                <w:szCs w:val="2"/>
              </w:rPr>
            </w:pPr>
            <w:r>
              <w:rPr>
                <w:sz w:val="2"/>
                <w:szCs w:val="2"/>
                <w:color w:val="A6A6A6"/>
                <w:noProof/>
              </w:rPr>
              <w:t xml:space="preserve">R79QlASM7lyQYD0N0_dc6:11</w:t>
            </w:r>
          </w:p>
        </w:tc>
        <w:tc>
          <w:tcPr>
            <w:tcW w:w="447" w:type="dxa"/>
            <w:tcBorders>
              <w:right w:val="single" w:sz="4" w:space="0" w:color="BFBFBF" w:themeColor="background1" w:themeShade="BF"/>
            </w:tcBorders>
            <w:shd w:val="clear" w:color="auto" w:fill="D9D9D9" w:themeFill="background1" w:themeFillShade="D9"/>
            <w:vAlign w:val="center"/>
          </w:tcPr>
          <w:p w14:paraId="666935B9" w14:textId="77777777" w:rsidR="00F3549D" w:rsidRPr="00F70888" w:rsidRDefault="00F3549D" w:rsidP="00F3549D">
            <w:pPr>
              <w:spacing w:after="0"/>
              <w:jc w:val="center"/>
              <w:rPr>
                <w:noProof/>
                <w:color w:val="A6A6A6" w:themeColor="background1" w:themeShade="A6"/>
                <w:sz w:val="16"/>
                <w:szCs w:val="16"/>
              </w:rPr>
            </w:pPr>
            <w:r>
              <w:rPr>
                <w:sz w:val="16"/>
                <w:szCs w:val="16"/>
                <w:color w:val="A6A6A6"/>
                <w:noProof/>
              </w:rPr>
              <w:t xml:space="preserve"/>
            </w:r>
          </w:p>
        </w:tc>
        <w:tc>
          <w:tcPr>
            <w:tcW w:w="536" w:type="dxa"/>
            <w:tcBorders>
              <w:left w:val="single" w:sz="4" w:space="0" w:color="BFBFBF" w:themeColor="background1" w:themeShade="BF"/>
            </w:tcBorders>
            <w:shd w:val="clear" w:color="auto" w:fill="D9D9D9" w:themeFill="background1" w:themeFillShade="D9"/>
            <w:vAlign w:val="center"/>
          </w:tcPr>
          <w:p w14:paraId="7B4FBC46" w14:textId="040F9F91" w:rsidR="00F3549D" w:rsidRPr="00F70888" w:rsidRDefault="00F3549D" w:rsidP="00F70888">
            <w:pPr>
              <w:spacing w:after="0"/>
              <w:jc w:val="center"/>
              <w:rPr>
                <w:noProof/>
                <w:color w:val="A6A6A6" w:themeColor="background1" w:themeShade="A6"/>
                <w:sz w:val="16"/>
                <w:szCs w:val="16"/>
              </w:rPr>
            </w:pPr>
            <w:r>
              <w:rPr>
                <w:sz w:val="16"/>
                <w:szCs w:val="16"/>
                <w:color w:val="A6A6A6"/>
                <w:noProof/>
              </w:rPr>
              <w:t xml:space="preserve">13</w:t>
            </w:r>
          </w:p>
        </w:tc>
        <w:tc>
          <w:tcPr>
            <w:tcW w:w="5005" w:type="dxa"/>
            <w:gridSpan w:val="2"/>
            <w:shd w:val="clear" w:color="auto" w:fill="D9D9D9" w:themeFill="background1" w:themeFillShade="D9"/>
            <w:tcMar>
              <w:top w:w="0" w:type="dxa"/>
              <w:left w:w="28" w:type="dxa"/>
              <w:right w:w="57" w:type="dxa"/>
            </w:tcMar>
          </w:tcPr>
          <w:p w14:paraId="3CF6CD87" w14:textId="77777777" w:rsidR="00F3549D" w:rsidRPr="00B7524C" w:rsidRDefault="00F3549D" w:rsidP="005304C0">
            <w:pPr>
              <w:pStyle w:val="source"/>
              <w:rPr>
                <w:noProof/>
                <w:lang w:val="en-US"/>
              </w:rPr>
            </w:pPr>
            <w:r>
              <w:rPr>
                <w:noProof/>
                <w:lang w:val="en-US"/>
              </w:rPr>
              <w:t xml:space="preserve">The falling droplets create a downdraft of air that spreads out at the Earth’s surface and causes strong winds associated with thunderstorms.</w:t>
            </w:r>
          </w:p>
        </w:tc>
        <w:tc>
          <w:tcPr>
            <w:tcW w:w="5005" w:type="dxa"/>
            <w:tcMar>
              <w:top w:w="0" w:type="dxa"/>
              <w:left w:w="28" w:type="dxa"/>
              <w:right w:w="57" w:type="dxa"/>
            </w:tcMar>
          </w:tcPr>
          <w:p w14:paraId="633796DF" w14:textId="77777777" w:rsidR="00F3549D" w:rsidRPr="00B7524C" w:rsidRDefault="00F3549D" w:rsidP="005304C0">
            <w:pPr>
              <w:pStyle w:val="target"/>
              <w:rPr>
                <w:noProof w:val="false"/>
                <w:lang w:val="fr-FR"/>
              </w:rPr>
            </w:pPr>
            <w:proofErr w:type="spellStart"/>
            <w:r>
              <w:rPr>
                <w:noProof w:val="false"/>
                <w:lang w:val="fr-FR"/>
              </w:rPr>
              <w:t xml:space="preserve">Les gouttes tombantes créent un courant d’air descendant qui se propage à la surface de la Terre et provoquent des vents violents associés aux orages.</w:t>
            </w:r>
            <w:proofErr w:type="spellEnd"/>
          </w:p>
        </w:tc>
        <w:tc>
          <w:tcPr>
            <w:tcW w:w="437" w:type="dxa"/>
            <w:shd w:val="clear" w:color="auto" w:fill="auto"/>
            <w:vAlign w:val="center"/>
          </w:tcPr>
          <w:p w14:paraId="66A3D941" w14:textId="77777777" w:rsidR="00F3549D" w:rsidRDefault="00F3549D" w:rsidP="004114C1">
            <w:pPr>
              <w:pStyle w:val="target"/>
              <w:jc w:val="center"/>
            </w:pPr>
            <w:r>
              <w:rPr>
                <w:sz w:val="16"/>
                <w:szCs w:val="16"/>
                <w:color w:val="000000"/>
                <w:noProof/>
              </w:rPr>
              <w:t xml:space="preserve"/>
            </w:r>
          </w:p>
        </w:tc>
        <w:tc>
          <w:tcPr>
            <w:tcW w:w="1440" w:type="dxa"/>
          </w:tcPr>
          <w:p w14:paraId="36D27033" w14:textId="77777777" w:rsidR="00F3549D" w:rsidRDefault="00F3549D" w:rsidP="005304C0">
            <w:pPr>
              <w:pStyle w:val="target"/>
              <w:rPr>
                <w:noProof w:val="false"/>
              </w:rPr>
            </w:pPr>
            <w:proofErr w:type="spellStart"/>
            <w:proofErr w:type="spellEnd"/>
          </w:p>
        </w:tc>
      </w:tr>
    </w:tbl>
    <w:p xmlns:w="http://schemas.openxmlformats.org/wordprocessingml/2006/main" w14:paraId="736A067B" w14:textId="77777777" w:rsidR="003068F8" w:rsidRPr="00B7524C" w:rsidRDefault="003068F8" w:rsidP="00166D25">
      <w:pPr>
        <w:rPr>
          <w:noProof/>
        </w:rPr>
      </w:pPr>
    </w:p>
    <w:sectPr xmlns:w="http://schemas.openxmlformats.org/wordprocessingml/2006/main" w:rsidR="003068F8" w:rsidRPr="00B7524C" w:rsidSect="008628A6">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8668407">
    <w:abstractNumId w:val="1"/>
  </w:num>
  <w:num w:numId="2" w16cid:durableId="160596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307F9"/>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1D15"/>
    <w:rsid w:val="005960C1"/>
    <w:rsid w:val="005B0AF2"/>
    <w:rsid w:val="006401BF"/>
    <w:rsid w:val="0065749E"/>
    <w:rsid w:val="00662658"/>
    <w:rsid w:val="0067335F"/>
    <w:rsid w:val="006F1C78"/>
    <w:rsid w:val="00715E66"/>
    <w:rsid w:val="00723D8C"/>
    <w:rsid w:val="00727B03"/>
    <w:rsid w:val="0073498A"/>
    <w:rsid w:val="00742C87"/>
    <w:rsid w:val="00755792"/>
    <w:rsid w:val="00790FDE"/>
    <w:rsid w:val="007D336F"/>
    <w:rsid w:val="007E72CB"/>
    <w:rsid w:val="007F120E"/>
    <w:rsid w:val="0081425E"/>
    <w:rsid w:val="0081680B"/>
    <w:rsid w:val="00831779"/>
    <w:rsid w:val="008628A6"/>
    <w:rsid w:val="0086544D"/>
    <w:rsid w:val="008719B7"/>
    <w:rsid w:val="00877A56"/>
    <w:rsid w:val="008D3703"/>
    <w:rsid w:val="008F06FB"/>
    <w:rsid w:val="00912CE1"/>
    <w:rsid w:val="0095054C"/>
    <w:rsid w:val="00960674"/>
    <w:rsid w:val="00974D7C"/>
    <w:rsid w:val="009865A1"/>
    <w:rsid w:val="009A2A04"/>
    <w:rsid w:val="009B1BB2"/>
    <w:rsid w:val="009B6C9F"/>
    <w:rsid w:val="009F16FD"/>
    <w:rsid w:val="00A167A8"/>
    <w:rsid w:val="00A3189C"/>
    <w:rsid w:val="00A40AAE"/>
    <w:rsid w:val="00A43E76"/>
    <w:rsid w:val="00A515F5"/>
    <w:rsid w:val="00A725C9"/>
    <w:rsid w:val="00A80F0F"/>
    <w:rsid w:val="00A833BB"/>
    <w:rsid w:val="00A912C3"/>
    <w:rsid w:val="00AA166B"/>
    <w:rsid w:val="00AC13DC"/>
    <w:rsid w:val="00AD2E15"/>
    <w:rsid w:val="00AF7090"/>
    <w:rsid w:val="00B332AA"/>
    <w:rsid w:val="00B40DB5"/>
    <w:rsid w:val="00B43030"/>
    <w:rsid w:val="00B559B2"/>
    <w:rsid w:val="00B7524C"/>
    <w:rsid w:val="00BA192A"/>
    <w:rsid w:val="00BC762A"/>
    <w:rsid w:val="00BC7D98"/>
    <w:rsid w:val="00BD2EA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C58C0"/>
    <w:rsid w:val="00ED0062"/>
    <w:rsid w:val="00EF3F8E"/>
    <w:rsid w:val="00F004B4"/>
    <w:rsid w:val="00F00E9C"/>
    <w:rsid w:val="00F01B98"/>
    <w:rsid w:val="00F17EAB"/>
    <w:rsid w:val="00F27C9B"/>
    <w:rsid w:val="00F3549D"/>
    <w:rsid w:val="00F36B39"/>
    <w:rsid w:val="00F55003"/>
    <w:rsid w:val="00F56281"/>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95FF"/>
  <w15:docId w15:val="{F2E56708-94CD-4F04-89C9-914E8B2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F8"/>
    <w:pPr>
      <w:spacing w:after="6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839"/>
    <w:pPr>
      <w:ind w:left="720"/>
      <w:contextualSpacing/>
    </w:pPr>
  </w:style>
  <w:style w:type="character" w:styleId="Hyperlink">
    <w:name w:val="Hyperlink"/>
    <w:basedOn w:val="DefaultParagraphFont"/>
    <w:uiPriority w:val="99"/>
    <w:unhideWhenUsed/>
    <w:rsid w:val="00E35FF0"/>
    <w:rPr>
      <w:color w:val="0000FF" w:themeColor="hyperlink"/>
      <w:u w:val="single"/>
    </w:rPr>
  </w:style>
  <w:style w:type="character" w:styleId="FollowedHyperlink">
    <w:name w:val="FollowedHyperlink"/>
    <w:basedOn w:val="DefaultParagraphFont"/>
    <w:uiPriority w:val="99"/>
    <w:semiHidden/>
    <w:unhideWhenUsed/>
    <w:rsid w:val="00025A25"/>
    <w:rPr>
      <w:color w:val="800080" w:themeColor="followedHyperlink"/>
      <w:u w:val="single"/>
    </w:rPr>
  </w:style>
  <w:style w:type="paragraph" w:customStyle="1" w:styleId="source">
    <w:name w:val="source"/>
    <w:basedOn w:val="Normal"/>
    <w:qFormat/>
    <w:rsid w:val="005304C0"/>
    <w:pPr>
      <w:spacing w:after="0"/>
    </w:pPr>
    <w:rPr>
      <w:noProof/>
    </w:rPr>
  </w:style>
  <w:style w:type="paragraph" w:customStyle="1" w:styleId="target">
    <w:name w:val="target"/>
    <w:basedOn w:val="Normal"/>
    <w:qFormat/>
    <w:rsid w:val="005304C0"/>
    <w:pPr>
      <w:spacing w:after="0"/>
    </w:pPr>
  </w:style>
  <w:style w:type="character" w:styleId="PlaceholderText">
    <w:name w:val="Placeholder Text"/>
    <w:basedOn w:val="DefaultParagraphFont"/>
    <w:uiPriority w:val="99"/>
    <w:semiHidden/>
    <w:rsid w:val="00AC13DC"/>
    <w:rPr>
      <w:color w:val="808080"/>
    </w:rPr>
  </w:style>
  <w:style w:type="paragraph" w:styleId="BalloonText">
    <w:name w:val="Balloon Text"/>
    <w:basedOn w:val="Normal"/>
    <w:link w:val="BalloonTextChar"/>
    <w:uiPriority w:val="99"/>
    <w:semiHidden/>
    <w:unhideWhenUsed/>
    <w:rsid w:val="00AC13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3D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1917545-E838-4E96-85E8-0C85684632F8}"/>
      </w:docPartPr>
      <w:docPartBody>
        <w:p w:rsidR="00EA7349" w:rsidRDefault="007806FE">
          <w:r w:rsidRPr="001215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6FE"/>
    <w:rsid w:val="000D5372"/>
    <w:rsid w:val="0025191B"/>
    <w:rsid w:val="003B4177"/>
    <w:rsid w:val="007806FE"/>
    <w:rsid w:val="00AE1158"/>
    <w:rsid w:val="00B548B7"/>
    <w:rsid w:val="00B859C7"/>
    <w:rsid w:val="00DA5848"/>
    <w:rsid w:val="00EA7349"/>
    <w:rsid w:val="00FC5789"/>
    <w:rsid w:val="00FE5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165-FE65-487C-BE7B-5E20C709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 Belusky</cp:lastModifiedBy>
  <cp:revision>5</cp:revision>
  <dcterms:created xsi:type="dcterms:W3CDTF">2020-10-22T08:50:00Z</dcterms:created>
  <dcterms:modified xsi:type="dcterms:W3CDTF">2022-12-12T08:38:00Z</dcterms:modified>
</cp:coreProperties>
</file>