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16se w16cid w16 w16cex w16sdtdh wp14">
  <w:body>
    <w:tbl xmlns:w="http://schemas.openxmlformats.org/wordprocessingml/2006/main">
      <w:tblPr>
        <w:tblStyle w:val="TableGrid"/>
        <w:tblW w:w="13041" w:type="dxa"/>
        <w:tblInd w:w="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041"/>
      </w:tblGrid>
      <w:tr w:rsidR="000B146B" w:rsidRPr="00A8302A" w14:paraId="339906B6" w14:textId="77777777" w:rsidTr="00B43030">
        <w:trPr>
          <w:trHeight w:val="239"/>
        </w:trPr>
        <w:tc>
          <w:tcPr>
            <w:tcW w:w="13041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B2A40D4" w14:textId="77777777" w:rsidR="009F16FD" w:rsidRDefault="000B146B" w:rsidP="00A167A8">
            <w:pPr>
              <w:rPr>
                <w:i/>
                <w:noProof/>
              </w:rPr>
            </w:pPr>
            <w:r w:rsidRPr="00A167A8">
              <w:rPr>
                <w:i/>
                <w:noProof/>
              </w:rPr>
              <w:t xml:space="preserve">When a segment gets repeated, the font is </w:t>
            </w:r>
            <w:r w:rsidRPr="00A167A8">
              <w:rPr>
                <w:i/>
                <w:noProof/>
                <w:color w:val="808080" w:themeColor="background1" w:themeShade="80"/>
              </w:rPr>
              <w:t xml:space="preserve">light grey </w:t>
            </w:r>
            <w:r w:rsidRPr="00A167A8">
              <w:rPr>
                <w:i/>
                <w:noProof/>
              </w:rPr>
              <w:t>and y</w:t>
            </w:r>
            <w:r w:rsidR="00A167A8" w:rsidRPr="00A167A8">
              <w:rPr>
                <w:i/>
                <w:noProof/>
              </w:rPr>
              <w:t>ou do NOT have to translate it.</w:t>
            </w:r>
            <w:r w:rsidR="00B43030" w:rsidRPr="00B43030">
              <w:rPr>
                <w:i/>
                <w:noProof/>
              </w:rPr>
              <w:t xml:space="preserve"> </w:t>
            </w:r>
          </w:p>
          <w:p w14:paraId="6C708486" w14:textId="6BEFD779" w:rsidR="000B146B" w:rsidRPr="00A167A8" w:rsidRDefault="009F16FD" w:rsidP="00A167A8">
            <w:pPr>
              <w:rPr>
                <w:i/>
                <w:noProof/>
              </w:rPr>
            </w:pPr>
            <w:r w:rsidRPr="009F16FD">
              <w:rPr>
                <w:i/>
                <w:noProof/>
              </w:rPr>
              <w:t>Segments with a dark grey background are locked and edits made in these segments will not be uploaded.</w:t>
            </w:r>
          </w:p>
        </w:tc>
      </w:tr>
    </w:tbl>
    <w:p xmlns:w="http://schemas.openxmlformats.org/wordprocessingml/2006/main" w14:paraId="10A34711" w14:textId="77777777" w:rsidR="00E35FF0" w:rsidRPr="00350E8C" w:rsidRDefault="00E35FF0">
      <w:pPr>
        <w:rPr>
          <w:noProof/>
          <w:sz w:val="2"/>
          <w:szCs w:val="2"/>
        </w:rPr>
      </w:pPr>
    </w:p>
    <w:tbl xmlns:w="http://schemas.openxmlformats.org/wordprocessingml/2006/main">
      <w:tblPr>
        <w:tblStyle w:val="TableGrid"/>
        <w:tblW w:w="13046" w:type="dxa"/>
        <w:tblInd w:w="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878"/>
        <w:gridCol w:w="3208"/>
        <w:gridCol w:w="1559"/>
        <w:gridCol w:w="2693"/>
        <w:gridCol w:w="993"/>
        <w:gridCol w:w="1275"/>
      </w:tblGrid>
      <w:tr w:rsidR="00EA1C68" w:rsidRPr="00B7524C" w14:paraId="324FEE1B" w14:textId="77777777" w:rsidTr="00350E8C">
        <w:trPr>
          <w:trHeight w:val="43"/>
        </w:trPr>
        <w:tc>
          <w:tcPr>
            <w:tcW w:w="4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lock w:val="sdtContentLocked"/>
            </w:sdtPr>
            <w:sdtContent>
              <w:p w14:paraId="62EA0D92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en</w:t>
                </w:r>
              </w:p>
            </w:sdtContent>
          </w:sdt>
        </w:tc>
        <w:tc>
          <w:tcPr>
            <w:tcW w:w="2878" w:type="dxa"/>
            <w:shd w:val="clear" w:color="auto" w:fill="D9D9D9" w:themeFill="background1" w:themeFillShade="D9"/>
          </w:tcPr>
          <w:sdt>
            <w:sdtPr>
              <w:lock w:val="sdtContentLocked"/>
            </w:sdtPr>
            <w:sdtContent>
              <w:p w14:paraId="4817954C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fr-fr</w:t>
                </w:r>
              </w:p>
            </w:sdtContent>
          </w:sdt>
        </w:tc>
        <w:tc>
          <w:tcPr>
            <w:tcW w:w="3208" w:type="dxa"/>
            <w:shd w:val="clear" w:color="auto" w:fill="D9D9D9" w:themeFill="background1" w:themeFillShade="D9"/>
          </w:tcPr>
          <w:sdt>
            <w:sdtPr>
              <w:lock w:val="sdtContentLocked"/>
            </w:sdtPr>
            <w:sdtContent>
              <w:p w14:paraId="4BC756BB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1</w:t>
                </w:r>
              </w:p>
            </w:sdtContent>
          </w:sdt>
        </w:tc>
        <w:tc>
          <w:tcPr>
            <w:tcW w:w="15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lock w:val="sdtContentLocked"/>
            </w:sdtPr>
            <w:sdtContent>
              <w:p w14:paraId="395720C5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converter2</w:t>
                </w:r>
              </w:p>
            </w:sdtContent>
          </w:sdt>
        </w:tc>
        <w:tc>
          <w:tcPr>
            <w:tcW w:w="2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lock w:val="sdtContentLocked"/>
            </w:sdtPr>
            <w:sdtContent>
              <w:p w14:paraId="5E91016D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Memsource</w:t>
                </w:r>
              </w:p>
            </w:sdtContent>
          </w:sdt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F0A6F5" w14:textId="77777777" w:rsidR="00EA1C68" w:rsidRPr="008628A6" w:rsidRDefault="00EA1C68" w:rsidP="00F00E9C">
            <w:pPr>
              <w:jc w:val="center"/>
              <w:rPr>
                <w:noProof/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sdt>
            <w:sdtPr>
              <w:rPr>
                <w:noProof/>
                <w:sz w:val="2"/>
                <w:szCs w:val="2"/>
              </w:rPr>
              <w:id w:val="70830443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A420894" w14:textId="77777777" w:rsidR="00EA1C68" w:rsidRPr="008628A6" w:rsidRDefault="00EA1C68" w:rsidP="003F0680">
                <w:pPr>
                  <w:jc w:val="center"/>
                  <w:rPr>
                    <w:noProof/>
                    <w:sz w:val="2"/>
                    <w:szCs w:val="2"/>
                  </w:rPr>
                </w:pPr>
                <w:r w:rsidRPr="008628A6">
                  <w:rPr>
                    <w:noProof/>
                    <w:sz w:val="2"/>
                    <w:szCs w:val="2"/>
                  </w:rPr>
                  <w:t>Memsource</w:t>
                </w:r>
              </w:p>
            </w:sdtContent>
          </w:sdt>
        </w:tc>
      </w:tr>
    </w:tbl>
    <w:p xmlns:w="http://schemas.openxmlformats.org/wordprocessingml/2006/main" w14:paraId="3F6E6191" w14:textId="77777777" w:rsidR="004D1277" w:rsidRPr="00350E8C" w:rsidRDefault="004D1277">
      <w:pPr>
        <w:rPr>
          <w:noProof/>
          <w:sz w:val="16"/>
          <w:szCs w:val="16"/>
        </w:rPr>
      </w:pPr>
    </w:p>
    <w:tbl xmlns:w="http://schemas.openxmlformats.org/wordprocessingml/2006/main">
      <w:tblPr>
        <w:tblStyle w:val="TableGrid"/>
        <w:tblW w:w="130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433"/>
        <w:gridCol w:w="537"/>
        <w:gridCol w:w="5008"/>
        <w:gridCol w:w="5009"/>
        <w:gridCol w:w="429"/>
        <w:gridCol w:w="1436"/>
      </w:tblGrid>
      <w:tr w:rsidR="00F3549D" w:rsidRPr="00B332AA" w14:paraId="6B2761D9" w14:textId="77777777" w:rsidTr="00F27C9B">
        <w:trPr>
          <w:trHeight w:val="260"/>
        </w:trPr>
        <w:tc>
          <w:tcPr>
            <w:tcW w:w="203" w:type="dxa"/>
            <w:vAlign w:val="center"/>
          </w:tcPr>
          <w:p w14:paraId="08A1D6C3" w14:textId="77777777" w:rsidR="00F3549D" w:rsidRPr="00B332AA" w:rsidRDefault="00F3549D" w:rsidP="00ED0062">
            <w:pPr>
              <w:spacing w:after="0"/>
              <w:jc w:val="center"/>
              <w:rPr>
                <w:i/>
                <w:iCs/>
                <w:noProof/>
                <w:sz w:val="14"/>
                <w:szCs w:val="14"/>
              </w:rPr>
            </w:pPr>
            <w:r w:rsidRPr="00B332AA">
              <w:rPr>
                <w:i/>
                <w:iCs/>
                <w:noProof/>
                <w:sz w:val="14"/>
                <w:szCs w:val="14"/>
              </w:rPr>
              <w:t>ID</w:t>
            </w:r>
          </w:p>
        </w:tc>
        <w:tc>
          <w:tcPr>
            <w:tcW w:w="435" w:type="dxa"/>
            <w:vAlign w:val="center"/>
          </w:tcPr>
          <w:p w14:paraId="4263175C" w14:textId="44748E39" w:rsidR="00F3549D" w:rsidRPr="00F3549D" w:rsidRDefault="00F3549D" w:rsidP="00F3549D">
            <w:pPr>
              <w:spacing w:after="0"/>
              <w:jc w:val="center"/>
              <w:rPr>
                <w:i/>
                <w:iCs/>
                <w:noProof/>
                <w:sz w:val="14"/>
                <w:szCs w:val="14"/>
              </w:rPr>
            </w:pPr>
            <w:r w:rsidRPr="00F3549D">
              <w:rPr>
                <w:i/>
                <w:iCs/>
                <w:noProof/>
                <w:sz w:val="14"/>
                <w:szCs w:val="14"/>
              </w:rPr>
              <w:t>I</w:t>
            </w:r>
            <w:r w:rsidR="008719B7">
              <w:rPr>
                <w:i/>
                <w:iCs/>
                <w:noProof/>
                <w:sz w:val="14"/>
                <w:szCs w:val="14"/>
              </w:rPr>
              <w:t>CU</w:t>
            </w:r>
          </w:p>
        </w:tc>
        <w:tc>
          <w:tcPr>
            <w:tcW w:w="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8BD92" w14:textId="2EB0741C" w:rsidR="00F3549D" w:rsidRPr="00B332AA" w:rsidRDefault="00F3549D" w:rsidP="00ED0062">
            <w:pPr>
              <w:spacing w:after="0"/>
              <w:jc w:val="center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#</w:t>
            </w:r>
          </w:p>
        </w:tc>
        <w:tc>
          <w:tcPr>
            <w:tcW w:w="50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D75DD" w14:textId="77777777" w:rsidR="00F3549D" w:rsidRPr="00B332AA" w:rsidRDefault="00F3549D" w:rsidP="00130E03">
            <w:pPr>
              <w:spacing w:after="0"/>
              <w:ind w:left="-32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Source (en)</w:t>
            </w:r>
          </w:p>
        </w:tc>
        <w:tc>
          <w:tcPr>
            <w:tcW w:w="5040" w:type="dxa"/>
            <w:vAlign w:val="center"/>
          </w:tcPr>
          <w:p w14:paraId="33AF615F" w14:textId="77777777" w:rsidR="00F3549D" w:rsidRPr="00B332AA" w:rsidRDefault="00F3549D" w:rsidP="0067335F">
            <w:pPr>
              <w:spacing w:after="0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Target (fr-fr)</w:t>
            </w:r>
          </w:p>
        </w:tc>
        <w:tc>
          <w:tcPr>
            <w:tcW w:w="432" w:type="dxa"/>
          </w:tcPr>
          <w:p w14:paraId="6A375B4A" w14:textId="77777777" w:rsidR="00F3549D" w:rsidRDefault="00F3549D" w:rsidP="0067335F">
            <w:pPr>
              <w:spacing w:after="0"/>
              <w:rPr>
                <w:i/>
                <w:iCs/>
                <w:noProof/>
              </w:rPr>
            </w:pPr>
          </w:p>
        </w:tc>
        <w:tc>
          <w:tcPr>
            <w:tcW w:w="1440" w:type="dxa"/>
          </w:tcPr>
          <w:p w14:paraId="68B627A8" w14:textId="77777777" w:rsidR="00F3549D" w:rsidRDefault="00F3549D" w:rsidP="0067335F">
            <w:pPr>
              <w:spacing w:after="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Comment</w:t>
            </w:r>
          </w:p>
          <w:p w14:paraId="2F1C48F3" w14:textId="77777777" w:rsidR="00F3549D" w:rsidRPr="00B332AA" w:rsidRDefault="00F3549D" w:rsidP="0067335F">
            <w:pPr>
              <w:spacing w:after="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 </w:t>
            </w:r>
            <w:r w:rsidRPr="00F56281">
              <w:rPr>
                <w:i/>
                <w:iCs/>
                <w:noProof/>
              </w:rPr>
              <w:t>(read only)</w:t>
            </w:r>
          </w:p>
        </w:tc>
      </w:tr>
    </w:tbl>
    <w:p xmlns:w="http://schemas.openxmlformats.org/wordprocessingml/2006/main" w14:paraId="60E1BE49" w14:textId="77777777" w:rsidR="00142786" w:rsidRDefault="00142786">
      <w:pPr>
        <w:rPr>
          <w:noProof/>
        </w:rPr>
      </w:pPr>
    </w:p>
    <w:tbl xmlns:w="http://schemas.openxmlformats.org/wordprocessingml/2006/main">
      <w:tblPr>
        <w:tblStyle w:val="TableGrid"/>
        <w:tblW w:w="130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447"/>
        <w:gridCol w:w="536"/>
        <w:gridCol w:w="1079"/>
        <w:gridCol w:w="3926"/>
        <w:gridCol w:w="5005"/>
        <w:gridCol w:w="437"/>
        <w:gridCol w:w="1440"/>
      </w:tblGrid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YD8QlASM7lOMYD0N0_dc6:0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As the Atlantic was bombarded by a record 30 named storms last year, at times it felt like they were appearing out of nowhere.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b/>
                <w:noProof w:val="false"/>
                <w:lang w:val="fr-FR"/>
              </w:rPr>
              <w:t xml:space="preserve">L’Atlantique a été bombardé par 30 tempêtes nommées l’année dernière, un record. Parfois, elles avaient l’air de sortir de nulle part.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YD8QlASM7lOMYD0N0_dc6:1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2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 fact, it takes just a few simple ingredients to form a major storm – warm water, thunderstorm activity, low wind shear and a pre-existing weather disturbance – all of which can be found in the ocean surrounding Bermuda from June to November.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En fait, quelques simples ingrédients suffisent pour qu’une forte tempête se forme : de l’eau chaude, une activité orageuse, un cisaillement du vent à basse altitude et une perturbation météorologique préexistante. Tous ces éléments se retrouvent dans l’océan autour des Bermudes de juin à novembre.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YD8QlASM7lOMYD0N0_dc6:2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3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National Ocean Service in the United States explains that hurricanes often start their life as a tropical wave: a low pressure area that moves through the tropics and causes shower and thunderstorm activity to increase.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Le National Ocean Service (NOS, Service américain des océans) aux États-Unis explique que les ouragans naissent souvent sous la forme d’une onde tropicale : une zone de basse pression qui se déplace dans les tropiques et entraîne une augmentation des averses et de l’activité orageuse.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YD8QlASM7lOMYD0N0_dc6:3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4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Warm air from the ocean rises into this storm, creating another area of low pressure underneath, which in turn causes more air to rush in.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L’air chaud de l’océan monte dans la tempête et crée une autre zone de basse pression plus bas, ce qui fait que plus d’air entre précipitamment dans la tempête.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YD8QlASM7lOMYD0N0_dc6:4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5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air rises and then gets cooler so that it condenses back into water droplets which form large clouds.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L’air monte puis il se rafraîchit donc il se condense sous la forme de gouttelettes d'eau qui forment de grands nuages.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YD8QlASM7lOMYD0N0_dc6:5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6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According to the National Oceanic and Atmospheric Administration, those clouds then progress into hurricanes in the following way: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b/>
                <w:noProof w:val="false"/>
                <w:lang w:val="fr-FR"/>
              </w:rPr>
              <w:t xml:space="preserve">Selon la National Oceanic and Atmospheric Administration (NOAA, Agence américaine d’observation océanique et atmosphérique), ces nuages se transforment progressivement en ouragans de la façon suivante :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YD8QlASM7lOMYD0N0_dc6:6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7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water vapour releases heat into the air as it condenses.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La vapeur d’eau libère de la chaleur dans l’air qui condense.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YD8QlASM7lOMYD0N0_dc6:7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8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Warm air rises into the clouds, creating a pattern of evaporation and condensation which causes cloud columns to grow and rise.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L’air chaud monte dans les nuages, ce qui crée un schéma d’évaporation et de condensation qui fait grandir et monter des tubas.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YD8QlASM7lOMYD0N0_dc6:8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9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This pattern causes winds to circulate around a centre, in the manner of water going down a drain.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Ce schéma fait que les vents circulent autour d’un centre, comme de l’eau qui s’évacue dans une canalisation.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YD8QlASM7lOMYD0N0_dc6:9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10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As the system meets more clouds, it becomes a cluster of thunderstorm clouds, or a tropical disturbance.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Au fur et à mesure qu’ils rencontrent d’autres nuages, ce système devient un amas de nuages d’orage ou une perturbation tropicale.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YD8QlASM7lOMYD0N0_dc6:10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11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Source : https://www.rgmags.com/2021/06/the-science-behind-the-storm/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Source : https://www.rgmags.com/2021/06/the-science-behind-the-storm/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</w:tbl>
    <w:p xmlns:w="http://schemas.openxmlformats.org/wordprocessingml/2006/main" w14:paraId="736A067B" w14:textId="77777777" w:rsidR="003068F8" w:rsidRPr="00B7524C" w:rsidRDefault="003068F8" w:rsidP="00166D25">
      <w:pPr>
        <w:rPr>
          <w:noProof/>
        </w:rPr>
      </w:pPr>
    </w:p>
    <w:sectPr xmlns:w="http://schemas.openxmlformats.org/wordprocessingml/2006/main" w:rsidR="003068F8" w:rsidRPr="00B7524C" w:rsidSect="008628A6">
      <w:pgSz w:w="14175" w:h="3118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7949"/>
    <w:multiLevelType w:val="hybridMultilevel"/>
    <w:tmpl w:val="5360F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156F6"/>
    <w:multiLevelType w:val="hybridMultilevel"/>
    <w:tmpl w:val="E5184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68407">
    <w:abstractNumId w:val="1"/>
  </w:num>
  <w:num w:numId="2" w16cid:durableId="160596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E1"/>
    <w:rsid w:val="00007095"/>
    <w:rsid w:val="000079C5"/>
    <w:rsid w:val="00010B79"/>
    <w:rsid w:val="00025A25"/>
    <w:rsid w:val="000316DD"/>
    <w:rsid w:val="00051336"/>
    <w:rsid w:val="00052880"/>
    <w:rsid w:val="000567DE"/>
    <w:rsid w:val="0007621F"/>
    <w:rsid w:val="000B146B"/>
    <w:rsid w:val="000B4451"/>
    <w:rsid w:val="000D7646"/>
    <w:rsid w:val="00130E03"/>
    <w:rsid w:val="00133B19"/>
    <w:rsid w:val="00142786"/>
    <w:rsid w:val="00153F01"/>
    <w:rsid w:val="00166BA0"/>
    <w:rsid w:val="00166D25"/>
    <w:rsid w:val="00192B21"/>
    <w:rsid w:val="001F1570"/>
    <w:rsid w:val="002063E9"/>
    <w:rsid w:val="00246A96"/>
    <w:rsid w:val="002554F8"/>
    <w:rsid w:val="002772A7"/>
    <w:rsid w:val="002B58A7"/>
    <w:rsid w:val="003068F8"/>
    <w:rsid w:val="003307F9"/>
    <w:rsid w:val="00350E8C"/>
    <w:rsid w:val="00355B59"/>
    <w:rsid w:val="0038071D"/>
    <w:rsid w:val="003A1E3B"/>
    <w:rsid w:val="003A5767"/>
    <w:rsid w:val="003E1FDC"/>
    <w:rsid w:val="003E5AD7"/>
    <w:rsid w:val="003F0680"/>
    <w:rsid w:val="004114C1"/>
    <w:rsid w:val="00414514"/>
    <w:rsid w:val="004158EF"/>
    <w:rsid w:val="00476F6F"/>
    <w:rsid w:val="0049512D"/>
    <w:rsid w:val="004A07A9"/>
    <w:rsid w:val="004A1915"/>
    <w:rsid w:val="004A7E75"/>
    <w:rsid w:val="004D1277"/>
    <w:rsid w:val="004D25A0"/>
    <w:rsid w:val="00524F14"/>
    <w:rsid w:val="00525963"/>
    <w:rsid w:val="005304C0"/>
    <w:rsid w:val="00541CFE"/>
    <w:rsid w:val="00572839"/>
    <w:rsid w:val="005839A8"/>
    <w:rsid w:val="00591D15"/>
    <w:rsid w:val="005960C1"/>
    <w:rsid w:val="005B0AF2"/>
    <w:rsid w:val="006401BF"/>
    <w:rsid w:val="0065749E"/>
    <w:rsid w:val="00662658"/>
    <w:rsid w:val="0067335F"/>
    <w:rsid w:val="006F1C78"/>
    <w:rsid w:val="00715E66"/>
    <w:rsid w:val="00723D8C"/>
    <w:rsid w:val="00727B03"/>
    <w:rsid w:val="0073498A"/>
    <w:rsid w:val="00742C87"/>
    <w:rsid w:val="00755792"/>
    <w:rsid w:val="00790FDE"/>
    <w:rsid w:val="007D336F"/>
    <w:rsid w:val="007E72CB"/>
    <w:rsid w:val="007F120E"/>
    <w:rsid w:val="0081425E"/>
    <w:rsid w:val="0081680B"/>
    <w:rsid w:val="00831779"/>
    <w:rsid w:val="008628A6"/>
    <w:rsid w:val="0086544D"/>
    <w:rsid w:val="008719B7"/>
    <w:rsid w:val="00877A56"/>
    <w:rsid w:val="008D3703"/>
    <w:rsid w:val="008F06FB"/>
    <w:rsid w:val="00912CE1"/>
    <w:rsid w:val="0095054C"/>
    <w:rsid w:val="00960674"/>
    <w:rsid w:val="00974D7C"/>
    <w:rsid w:val="009865A1"/>
    <w:rsid w:val="009A2A04"/>
    <w:rsid w:val="009B1BB2"/>
    <w:rsid w:val="009B6C9F"/>
    <w:rsid w:val="009F16FD"/>
    <w:rsid w:val="00A167A8"/>
    <w:rsid w:val="00A3189C"/>
    <w:rsid w:val="00A40AAE"/>
    <w:rsid w:val="00A43E76"/>
    <w:rsid w:val="00A515F5"/>
    <w:rsid w:val="00A725C9"/>
    <w:rsid w:val="00A80F0F"/>
    <w:rsid w:val="00A833BB"/>
    <w:rsid w:val="00A912C3"/>
    <w:rsid w:val="00AA166B"/>
    <w:rsid w:val="00AC13DC"/>
    <w:rsid w:val="00AD2E15"/>
    <w:rsid w:val="00AF7090"/>
    <w:rsid w:val="00B332AA"/>
    <w:rsid w:val="00B40DB5"/>
    <w:rsid w:val="00B43030"/>
    <w:rsid w:val="00B559B2"/>
    <w:rsid w:val="00B7524C"/>
    <w:rsid w:val="00BA192A"/>
    <w:rsid w:val="00BC762A"/>
    <w:rsid w:val="00BC7D98"/>
    <w:rsid w:val="00BD2EA5"/>
    <w:rsid w:val="00C328CA"/>
    <w:rsid w:val="00C567B4"/>
    <w:rsid w:val="00C64B9E"/>
    <w:rsid w:val="00C867DC"/>
    <w:rsid w:val="00CA1CBA"/>
    <w:rsid w:val="00CB1E62"/>
    <w:rsid w:val="00CB575F"/>
    <w:rsid w:val="00CF1F04"/>
    <w:rsid w:val="00D3663B"/>
    <w:rsid w:val="00D53A59"/>
    <w:rsid w:val="00D633B9"/>
    <w:rsid w:val="00D66D07"/>
    <w:rsid w:val="00D8304C"/>
    <w:rsid w:val="00D85F31"/>
    <w:rsid w:val="00DE2022"/>
    <w:rsid w:val="00DF72DE"/>
    <w:rsid w:val="00E21644"/>
    <w:rsid w:val="00E2630B"/>
    <w:rsid w:val="00E35FF0"/>
    <w:rsid w:val="00E456E7"/>
    <w:rsid w:val="00E45CFD"/>
    <w:rsid w:val="00E56909"/>
    <w:rsid w:val="00E663B5"/>
    <w:rsid w:val="00E81386"/>
    <w:rsid w:val="00E84B4D"/>
    <w:rsid w:val="00EA1C68"/>
    <w:rsid w:val="00EA64F5"/>
    <w:rsid w:val="00EC58C0"/>
    <w:rsid w:val="00ED0062"/>
    <w:rsid w:val="00EF3F8E"/>
    <w:rsid w:val="00F004B4"/>
    <w:rsid w:val="00F00E9C"/>
    <w:rsid w:val="00F01B98"/>
    <w:rsid w:val="00F17EAB"/>
    <w:rsid w:val="00F27C9B"/>
    <w:rsid w:val="00F3549D"/>
    <w:rsid w:val="00F36B39"/>
    <w:rsid w:val="00F55003"/>
    <w:rsid w:val="00F56281"/>
    <w:rsid w:val="00F70888"/>
    <w:rsid w:val="00F71D79"/>
    <w:rsid w:val="00F90EA1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95FF"/>
  <w15:docId w15:val="{F2E56708-94CD-4F04-89C9-914E8B2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F8"/>
    <w:pPr>
      <w:spacing w:after="6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A25"/>
    <w:rPr>
      <w:color w:val="800080" w:themeColor="followedHyperlink"/>
      <w:u w:val="single"/>
    </w:rPr>
  </w:style>
  <w:style w:type="paragraph" w:customStyle="1" w:styleId="source">
    <w:name w:val="source"/>
    <w:basedOn w:val="Normal"/>
    <w:qFormat/>
    <w:rsid w:val="005304C0"/>
    <w:pPr>
      <w:spacing w:after="0"/>
    </w:pPr>
    <w:rPr>
      <w:noProof/>
    </w:rPr>
  </w:style>
  <w:style w:type="paragraph" w:customStyle="1" w:styleId="target">
    <w:name w:val="target"/>
    <w:basedOn w:val="Normal"/>
    <w:qFormat/>
    <w:rsid w:val="005304C0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AC13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7545-E838-4E96-85E8-0C85684632F8}"/>
      </w:docPartPr>
      <w:docPartBody>
        <w:p w:rsidR="00EA7349" w:rsidRDefault="007806FE">
          <w:r w:rsidRPr="001215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6FE"/>
    <w:rsid w:val="000D5372"/>
    <w:rsid w:val="0025191B"/>
    <w:rsid w:val="003B4177"/>
    <w:rsid w:val="007806FE"/>
    <w:rsid w:val="00AE1158"/>
    <w:rsid w:val="00B548B7"/>
    <w:rsid w:val="00B859C7"/>
    <w:rsid w:val="00DA5848"/>
    <w:rsid w:val="00EA7349"/>
    <w:rsid w:val="00FC5789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6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2165-FE65-487C-BE7B-5E20C709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Belusky</cp:lastModifiedBy>
  <cp:revision>5</cp:revision>
  <dcterms:created xsi:type="dcterms:W3CDTF">2020-10-22T08:50:00Z</dcterms:created>
  <dcterms:modified xsi:type="dcterms:W3CDTF">2022-12-12T08:38:00Z</dcterms:modified>
</cp:coreProperties>
</file>